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C18F" w14:textId="77777777" w:rsidR="00F714CF" w:rsidRDefault="00000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Załącznik do ustawy z dnia 20 maja 2021 r.</w:t>
      </w:r>
    </w:p>
    <w:p w14:paraId="44DC514F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Stan na dzień sporządzenia prospektu informacyjnego </w:t>
      </w:r>
    </w:p>
    <w:p w14:paraId="53280CAE" w14:textId="0F2092F5" w:rsidR="00F714CF" w:rsidRDefault="00000000">
      <w:pPr>
        <w:widowControl w:val="0"/>
        <w:spacing w:after="0" w:line="360" w:lineRule="auto"/>
        <w:ind w:left="63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 sporządzenia prospektu </w:t>
      </w:r>
      <w:r w:rsidR="0099057D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</w:p>
    <w:p w14:paraId="427B45E7" w14:textId="77777777" w:rsidR="00F714CF" w:rsidRDefault="00F714CF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358ED4" w14:textId="77777777" w:rsidR="00F714CF" w:rsidRDefault="00000000">
      <w:pPr>
        <w:spacing w:before="144" w:after="144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PROSPEKT INFORMACYJNY </w:t>
      </w:r>
    </w:p>
    <w:p w14:paraId="37B521AD" w14:textId="77777777" w:rsidR="00F714CF" w:rsidRDefault="00F714CF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D9A857" w14:textId="77777777" w:rsidR="00F714CF" w:rsidRDefault="00000000">
      <w:pPr>
        <w:spacing w:before="144" w:after="144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OGÓLNA</w:t>
      </w:r>
    </w:p>
    <w:p w14:paraId="4B1BD7D0" w14:textId="77777777" w:rsidR="00F714CF" w:rsidRDefault="00F714C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3327F9" w14:textId="77777777" w:rsidR="00F714CF" w:rsidRDefault="00000000">
      <w:pPr>
        <w:widowControl w:val="0"/>
        <w:numPr>
          <w:ilvl w:val="0"/>
          <w:numId w:val="1"/>
        </w:numPr>
        <w:spacing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Layout w:type="fixed"/>
        <w:tblLook w:val="01E0" w:firstRow="1" w:lastRow="1" w:firstColumn="1" w:lastColumn="1" w:noHBand="0" w:noVBand="0"/>
      </w:tblPr>
      <w:tblGrid>
        <w:gridCol w:w="2987"/>
        <w:gridCol w:w="3240"/>
        <w:gridCol w:w="3421"/>
      </w:tblGrid>
      <w:tr w:rsidR="00F714CF" w14:paraId="3C7DFA3E" w14:textId="77777777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91340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DEWELOPERA</w:t>
            </w:r>
          </w:p>
          <w:p w14:paraId="2485CFB4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14CF" w14:paraId="61CB3C98" w14:textId="77777777">
        <w:trPr>
          <w:trHeight w:val="37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7F5EBC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Deweloper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1B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Mój Dom Gorzów Spółka z o.o.</w:t>
            </w:r>
          </w:p>
          <w:p w14:paraId="5070524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ul. Bohaterów Warszawy 6, 66-400 Gorzów Wlkp.</w:t>
            </w:r>
          </w:p>
          <w:p w14:paraId="001286D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wpisana do rejestru przedsiębiorców Krajowego Rejestru Sądowego pod numerem KRS 0000871067</w:t>
            </w:r>
          </w:p>
        </w:tc>
      </w:tr>
      <w:tr w:rsidR="00F714CF" w14:paraId="660D0056" w14:textId="77777777">
        <w:trPr>
          <w:trHeight w:val="132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E07B4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DF2F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ul. Walczaka 112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66-400 Gorzów Wlkp.</w:t>
            </w:r>
            <w:r>
              <w:rPr>
                <w:rFonts w:eastAsia="Times New Roman" w:cs="Calibri"/>
                <w:sz w:val="28"/>
                <w:szCs w:val="28"/>
              </w:rPr>
              <w:br/>
            </w:r>
            <w:r>
              <w:rPr>
                <w:rFonts w:eastAsia="Times New Roman" w:cs="Calibri"/>
                <w:sz w:val="20"/>
                <w:szCs w:val="20"/>
              </w:rPr>
              <w:t>(adres lokalu przeznaczonego do obsługi publiczności)</w:t>
            </w:r>
          </w:p>
        </w:tc>
      </w:tr>
      <w:tr w:rsidR="00F714CF" w14:paraId="753F0D07" w14:textId="77777777">
        <w:trPr>
          <w:trHeight w:val="18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BD2E38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NIP REGON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3DF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5993252814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B54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387575083</w:t>
            </w:r>
          </w:p>
        </w:tc>
      </w:tr>
      <w:tr w:rsidR="00F714CF" w14:paraId="39869E89" w14:textId="77777777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EE3B42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807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609 000 650</w:t>
            </w:r>
          </w:p>
        </w:tc>
      </w:tr>
      <w:tr w:rsidR="00F714CF" w14:paraId="5C64DFD0" w14:textId="77777777">
        <w:trPr>
          <w:trHeight w:val="27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7CB0A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4EB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czeinternetowe"/>
                  <w:rFonts w:ascii="Times New Roman" w:eastAsia="Times New Roman" w:hAnsi="Times New Roman" w:cs="Times New Roman"/>
                  <w:sz w:val="20"/>
                  <w:szCs w:val="20"/>
                </w:rPr>
                <w:t>kontakt@mojdomgorzow.pl</w:t>
              </w:r>
            </w:hyperlink>
          </w:p>
        </w:tc>
      </w:tr>
      <w:tr w:rsidR="00F714CF" w14:paraId="7D43570D" w14:textId="77777777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4EB239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faksu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A24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2B241F45" w14:textId="77777777">
        <w:trPr>
          <w:trHeight w:val="21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B6F973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strony internetowej dewelopera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FECF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czeinternetowe"/>
                  <w:rFonts w:ascii="Times New Roman" w:eastAsia="Times New Roman" w:hAnsi="Times New Roman" w:cs="Times New Roman"/>
                  <w:sz w:val="20"/>
                  <w:szCs w:val="20"/>
                </w:rPr>
                <w:t>www.mojdomgorzow.pl</w:t>
              </w:r>
            </w:hyperlink>
          </w:p>
        </w:tc>
      </w:tr>
    </w:tbl>
    <w:p w14:paraId="23D06C44" w14:textId="77777777" w:rsidR="00F714CF" w:rsidRDefault="00000000">
      <w:pPr>
        <w:widowControl w:val="0"/>
        <w:numPr>
          <w:ilvl w:val="0"/>
          <w:numId w:val="1"/>
        </w:numPr>
        <w:spacing w:before="24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F714CF" w14:paraId="6C1BA52E" w14:textId="77777777">
        <w:trPr>
          <w:trHeight w:val="704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D62A2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 I UDOKUMENTOWANE DOŚWIADCZENIE DEWELOPERA</w:t>
            </w:r>
          </w:p>
        </w:tc>
      </w:tr>
    </w:tbl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813"/>
        <w:gridCol w:w="6835"/>
      </w:tblGrid>
      <w:tr w:rsidR="00F714CF" w14:paraId="490F779E" w14:textId="77777777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9CCA7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UKOŃCZONEGO PRZEDSIĘWZIĘCIA DEWELOPERSKIEGO (należy wskazać, o ile istnieją, trzy ukończone przedsięwzięcia deweloperskie, w tym ostatnie)</w:t>
            </w:r>
          </w:p>
        </w:tc>
      </w:tr>
      <w:tr w:rsidR="00F714CF" w14:paraId="466E6BBA" w14:textId="77777777">
        <w:trPr>
          <w:trHeight w:val="13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16CBA2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FDC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29E163E1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2798B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454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68E835D6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6C17E7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Data wydania decyzji o pozwoleniu na użytkowanie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58E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397ECDA7" w14:textId="77777777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663B1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INNEGO UKOŃCZONEGO PRZEDSIĘWZIĘCIA DEWELOPERSKIEGO</w:t>
            </w:r>
          </w:p>
          <w:p w14:paraId="7FF6C8B5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14CF" w14:paraId="35BBC4B0" w14:textId="77777777">
        <w:trPr>
          <w:trHeight w:val="13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A449E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CC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3C83EDE4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F7560F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31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64F0596F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C4A25B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8CF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23BAF774" w14:textId="77777777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A3EDA2" w14:textId="77777777" w:rsidR="00F714CF" w:rsidRDefault="00000000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OSTATNIEGO UKOŃCZONEGO PRZEDSIĘWZIĘCIA DEWELOPERSKIEGO</w:t>
            </w:r>
          </w:p>
          <w:p w14:paraId="72E058C8" w14:textId="77777777" w:rsidR="00F714CF" w:rsidRDefault="00F714CF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14CF" w14:paraId="7AD5CBA1" w14:textId="77777777">
        <w:trPr>
          <w:trHeight w:val="13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6B3EE4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5BD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169B9E4E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6F1CEF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7D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F714CF" w14:paraId="09141003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14E4B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3C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</w:t>
            </w:r>
          </w:p>
        </w:tc>
      </w:tr>
    </w:tbl>
    <w:p w14:paraId="61B70553" w14:textId="77777777" w:rsidR="00F714CF" w:rsidRDefault="00F714CF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807"/>
        <w:gridCol w:w="6841"/>
      </w:tblGrid>
      <w:tr w:rsidR="00F714CF" w14:paraId="3E9E0C61" w14:textId="777777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5430D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AE2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</w:tbl>
    <w:p w14:paraId="504DADC5" w14:textId="77777777" w:rsidR="00F714CF" w:rsidRDefault="00F714CF">
      <w:pPr>
        <w:spacing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4F1031D0" w14:textId="77777777" w:rsidR="00F714CF" w:rsidRDefault="00000000">
      <w:pPr>
        <w:widowControl w:val="0"/>
        <w:numPr>
          <w:ilvl w:val="0"/>
          <w:numId w:val="2"/>
        </w:numPr>
        <w:spacing w:beforeAutospacing="1" w:after="120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810"/>
        <w:gridCol w:w="3418"/>
        <w:gridCol w:w="3420"/>
      </w:tblGrid>
      <w:tr w:rsidR="00F714CF" w14:paraId="490C03CA" w14:textId="77777777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53CAD6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GRUNTU I ZAGOSPODAROWANIA PRZESTRZENNEGO TERENU</w:t>
            </w:r>
          </w:p>
          <w:p w14:paraId="18993828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14CF" w14:paraId="7122FCF5" w14:textId="77777777">
        <w:trPr>
          <w:trHeight w:val="13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CFA2B2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i numer działki ewidencyjnej i obrębu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1"/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D8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Gorzów Wlkp., ul. Węgierska, obręb 1 Chwalęcice, działka ewidencyjna nr 1847, jednostka ewidencyjna Gorzów Wlkp.</w:t>
            </w:r>
          </w:p>
        </w:tc>
      </w:tr>
      <w:tr w:rsidR="00F714CF" w14:paraId="000FB5C6" w14:textId="77777777">
        <w:trPr>
          <w:trHeight w:val="9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64F34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D38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GW1G/00119811/9</w:t>
            </w:r>
          </w:p>
        </w:tc>
      </w:tr>
      <w:tr w:rsidR="00F714CF" w14:paraId="43AE5907" w14:textId="77777777">
        <w:trPr>
          <w:trHeight w:val="9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BD0F7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Istniejące obciążenia hipoteczne nieruchomości lub wnioski o wpis w dziale czwartym księgi wieczystej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4A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wpisów w dziale IV księgi wieczystej.</w:t>
            </w:r>
          </w:p>
        </w:tc>
      </w:tr>
      <w:tr w:rsidR="00F714CF" w14:paraId="12C853A2" w14:textId="77777777">
        <w:trPr>
          <w:trHeight w:val="97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29A381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braku księgi wieczystej informacja o 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wierzchni działki i stanie prawnym nieruchomości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2"/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5F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 dotyczy.</w:t>
            </w:r>
          </w:p>
        </w:tc>
      </w:tr>
      <w:tr w:rsidR="00F714CF" w14:paraId="177B6E06" w14:textId="77777777">
        <w:trPr>
          <w:trHeight w:val="97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A3D2B98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obiektów istniejących położonych w sąsiedztwie inwestycji i wpływających na warunki życia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3"/>
              <w:t>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BE337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6D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działkach sąsiednich nie występują budynki. W sąsiedztwie inwestycji w odległości 200-300 metrów znajdują się dwa markety budowlane z parkingami i zapleczem magazynowym, market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parkingiem, dwie restauracje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fastfood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stacja benzynowa.</w:t>
            </w:r>
          </w:p>
        </w:tc>
      </w:tr>
      <w:tr w:rsidR="00F714CF" w14:paraId="0D570B60" w14:textId="77777777">
        <w:trPr>
          <w:trHeight w:val="320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3891D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 planowania przestrzennego i inne akty prawne na podstawie przepisów odrębnych na terenie objętym przedsięwzięciem deweloperskim lub zadaniem inwestycyjnym</w:t>
            </w:r>
          </w:p>
          <w:p w14:paraId="163F4DF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5EB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Ramowe studium uwarunkowań i kierunków zagospodarowania przestrzennego związku metropolitalnego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3FA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i data aktu normatywnego, nazwa organu oraz miejsce publikacji; w przypadku studium – link do strony internetowej, na której jest zamieszczone,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geoportal</w:t>
            </w:r>
            <w:proofErr w:type="spellEnd"/>
          </w:p>
          <w:p w14:paraId="4CCCFE7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Miejscowy Plan Zagospodarowania Przestrzennego miasta Gorzowa Wielkopolskiego dla obszaru położonego w rejonie ulic: Węgierskiej i Czeskiej z dnia 2023-01-25, UCHWAŁA LIX/1052/2023.</w:t>
            </w:r>
          </w:p>
          <w:p w14:paraId="6F4A381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5686ECA0" w14:textId="77777777">
        <w:trPr>
          <w:trHeight w:val="317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F5C11C1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59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Studium uwarunkowań i kierunków zagospodarowania przestrzennego gminy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E7CA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1B24477B" w14:textId="77777777">
        <w:trPr>
          <w:trHeight w:val="317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309177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45D2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36A0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2712B822" w14:textId="77777777">
        <w:trPr>
          <w:trHeight w:val="317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D70BBB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DAC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CA76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523CE165" w14:textId="77777777">
        <w:trPr>
          <w:trHeight w:val="317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42EAAB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41C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C045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3DF42ECC" w14:textId="77777777">
        <w:trPr>
          <w:trHeight w:val="317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49FC0BA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5BA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customMarkFollows="1" w:id="4"/>
              <w:t>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628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7E8DA273" w14:textId="77777777">
        <w:trPr>
          <w:trHeight w:val="60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BB4220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obowiązującego miejscowego planu zagospodarowania przestrzennego dla terenu objętego przedsięwzięciem deweloperskim lub zadaniem inwestycyjnym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8A18D2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058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0D8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Teren zabudowy mieszkaniowej wielorodzinnej z dopuszczeniem usług nieuciążliwych w parterach.</w:t>
            </w:r>
          </w:p>
        </w:tc>
      </w:tr>
      <w:tr w:rsidR="00F714CF" w14:paraId="581775F0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9E19E1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893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802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wskaźnik intensywności zabudowy 0-1,8</w:t>
            </w:r>
          </w:p>
        </w:tc>
      </w:tr>
      <w:tr w:rsidR="00F714CF" w14:paraId="3C745027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7144D02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10E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68B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m</w:t>
            </w:r>
          </w:p>
        </w:tc>
      </w:tr>
      <w:tr w:rsidR="00F714CF" w14:paraId="00855E91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533C54E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12B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8DA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F714CF" w14:paraId="0B78AA57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7898492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88B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ACB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mniej niż 1,2 miejsca do parkowania na każdy lokal mieszkalny.</w:t>
            </w:r>
          </w:p>
        </w:tc>
      </w:tr>
      <w:tr w:rsidR="00F714CF" w14:paraId="1AD692DF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F2B7501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BB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331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Gospodarowanie odpadami zgodnie z prawem miejscowym normującym utrzymanie czystości i porządku na terenie miasta;</w:t>
            </w:r>
          </w:p>
          <w:p w14:paraId="7C05FBB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Teren 4MW jest objęty ochroną przed hałasem jako teren zabudowy mieszkaniowej wielorodzinnej;</w:t>
            </w:r>
          </w:p>
          <w:p w14:paraId="0C975AA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Zagospodarowanie zielenią wszystkich powierzchni wolnych od utwardzenia;</w:t>
            </w:r>
          </w:p>
          <w:p w14:paraId="257E709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Utrzymanie istniejących drzew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zadrzewień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granicach planu, które nie kolidują z planowaną zabudową oraz planowaną i istniejącą infrastrukturą techniczną;</w:t>
            </w:r>
          </w:p>
          <w:p w14:paraId="7EB2579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Zakaz lokalizacji przedsięwzięć związanych ze zbieraniem i przetwarzaniem odpadów;</w:t>
            </w:r>
          </w:p>
        </w:tc>
      </w:tr>
      <w:tr w:rsidR="00F714CF" w14:paraId="213710F5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4CD4137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AA6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1FF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03F7FB5D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8924784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BD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3F6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Działka nr 1847 nie podlega ochronie konserwatorskiej oraz nie jest wpisana do rejestru zabytków.</w:t>
            </w:r>
          </w:p>
        </w:tc>
      </w:tr>
      <w:tr w:rsidR="00F714CF" w14:paraId="39C34E7C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B72CC31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507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995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5A813427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4A6C783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A59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344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Nieruchomość posiada dostęp do drogi publicznej – ulicy Węgierskiej.</w:t>
            </w:r>
          </w:p>
          <w:p w14:paraId="65C8632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Sąsiedztwo:</w:t>
            </w:r>
          </w:p>
          <w:p w14:paraId="538FD2F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od strony północnej – teren zieleni urządzonej – oznaczonej w miejscowym planie zagospodarowania przestrzennego jako 2ZP,</w:t>
            </w:r>
          </w:p>
          <w:p w14:paraId="4F9C14E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od strony wschodniej – teren drogi lokalnej (Węgierska) – oznaczonej w</w:t>
            </w:r>
          </w:p>
          <w:p w14:paraId="31D9F7D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miejscowym planie zagospodarowania przestrzennego jako KDL,</w:t>
            </w:r>
          </w:p>
          <w:p w14:paraId="1205055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od strony południowej – teren ulicy lokalnej (Litewska) – oznaczonej w miejscowym planie zagospodarowania przestrzennego jako 1KL,</w:t>
            </w:r>
          </w:p>
          <w:p w14:paraId="65AA8A1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od strony zachodniej – teren ulicy lokalnej (Węgierska) – oznaczonej w miejscowym planie zagospodarowania przestrzennego jako 2KL.</w:t>
            </w:r>
          </w:p>
        </w:tc>
      </w:tr>
      <w:tr w:rsidR="00F714CF" w14:paraId="5133F4AE" w14:textId="77777777">
        <w:trPr>
          <w:trHeight w:val="5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9BAB02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CF4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2A4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ramach inwestycji zaprojektowano następujące elementy zagospodarowania terenu:</w:t>
            </w:r>
          </w:p>
          <w:p w14:paraId="26B3108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nawierzchnie utwardzone i miejsca parkingowe,</w:t>
            </w:r>
          </w:p>
          <w:p w14:paraId="3E8EEFD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plac zabaw,</w:t>
            </w:r>
          </w:p>
          <w:p w14:paraId="0C9456F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ukształtowanie terenu,</w:t>
            </w:r>
          </w:p>
          <w:p w14:paraId="31D9E4C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miejsca gromadzenia odpadów stałych,</w:t>
            </w:r>
          </w:p>
          <w:p w14:paraId="0F29867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zewnętrzne instalacje uzbrojenia terenu,</w:t>
            </w:r>
          </w:p>
          <w:p w14:paraId="471898F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urządzenie zieleni.</w:t>
            </w:r>
          </w:p>
          <w:p w14:paraId="15B005E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Instalacja wodociągowa:</w:t>
            </w:r>
          </w:p>
          <w:p w14:paraId="1CDE68A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Projektowane budynki mieszkalne, wielorodzinne będą zasilane w wodę z miejskiej sieci wodociągowej o średnicy Ø 110 mm ułożonej w ul. Węgierskiej.</w:t>
            </w:r>
          </w:p>
          <w:p w14:paraId="1B616EF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Wodomierz główny zaprojektowano w studni wodomierzowej przy zachodniej granicy działki.</w:t>
            </w:r>
          </w:p>
          <w:p w14:paraId="03EAB83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Instalacja kanalizacji sanitarnej:</w:t>
            </w:r>
          </w:p>
          <w:p w14:paraId="5EAA28E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Ścieki byt. – gosp. z projektowanych budynków mieszkalnych, wielorodzinnych będą odprowadzane do miejskiej sieci kanalizacyjnej o średnicy Ø250 mm ułożonej w ul. Węgierskiej.</w:t>
            </w:r>
          </w:p>
          <w:p w14:paraId="40F07A6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Instalacja kanalizacji deszczowej:</w:t>
            </w:r>
          </w:p>
          <w:p w14:paraId="649513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Ścieki deszczowe z dachów projektowanych budynków mieszkalnych, wielorodzinnych oraz z powierzchni utwardzonych będą odprowadzane do miejskiej sieci kanalizacyjnej o średnicy DN1000 ułożonej w ul. Słowiańskiej.</w:t>
            </w:r>
          </w:p>
          <w:p w14:paraId="4617B53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Dachy budynków będą odwadniane systemem rur spustowych podłączonych do projektowanej kanalizacji deszczowej. W dolnej części rur spustowych instalowane będą rewizje. Teren utwardzony będzie odwadniany za pomocą wpustów ulicznych z osadnikami i koszami na zanieczyszczenia. Zwieńczenie wpustów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odwodnień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liniowych wykonane będzie jako żeliwne w klasie obciążenia D400.</w:t>
            </w:r>
          </w:p>
          <w:p w14:paraId="168FA65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Ścieki będą w 100% retencjonowane na terenie inwestycji, a następnie odprowadzane do kanalizacji.</w:t>
            </w:r>
          </w:p>
          <w:p w14:paraId="1FEC592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gromadzenia ścieków deszczowych projektuje się zbiornik retencyjny podziemny o pojemności całkowitej 120,12m3. Za zbiornikiem retencyjnym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będzie wykonany regulator przepływu oraz pompownia ścieków.</w:t>
            </w:r>
          </w:p>
          <w:p w14:paraId="4924097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Instalacje elektroenergetyczne:</w:t>
            </w:r>
          </w:p>
          <w:p w14:paraId="068B5F0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zakresie instalacji zewnętrznych elektroenergetycznych zaprojektowano</w:t>
            </w:r>
          </w:p>
          <w:p w14:paraId="2BC9C9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zasilanie opraw oświetleniowych</w:t>
            </w:r>
          </w:p>
          <w:p w14:paraId="7741C07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zasilanie klatek z ZK</w:t>
            </w:r>
          </w:p>
          <w:p w14:paraId="3081ECA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kanalizację teletechniczną</w:t>
            </w:r>
          </w:p>
          <w:p w14:paraId="03607E8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studnie kablowe</w:t>
            </w:r>
          </w:p>
          <w:p w14:paraId="27E32CA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lampy oświetleniowe na słupach aluminiowych 4,5m oraz lampy Karin 450.</w:t>
            </w:r>
          </w:p>
        </w:tc>
      </w:tr>
      <w:tr w:rsidR="00F714CF" w14:paraId="3BAAF0D4" w14:textId="77777777">
        <w:trPr>
          <w:trHeight w:val="288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13E8908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BDF3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customMarkFollows="1" w:id="5"/>
              <w:t>*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C6C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B32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Działki sąsiadujące z działką gruntu, na której prowadzona jest inwestycja, o numerach 1840, 1843, 1846/2 posiadają w miejscowym planie zagospodarowania przestrzennego oznaczenia 1MW, 2MW, 3MW i przeznaczenie pod zabudowę mieszkaniową wielorodzinną z dopuszczeniem usług w parterach; działki o numerach 1838, 1848 posiadają w miejscowym planie zagospodarowania przestrzennego oznaczenia 6MW2, 7MW2 i przeznaczenie pod zabudowę mieszkaniową wielorodzinną niską z usługami nieuciążliwymi; działki o numerach 1853 i 1854 posiadają w miejscowym planie zagospodarowania przestrzennego oznaczenie 1UC i są to tereny usług komercyjnych w tym obiektów usługowych handlu wielkopowierzchniowego.</w:t>
            </w:r>
          </w:p>
        </w:tc>
      </w:tr>
      <w:tr w:rsidR="00F714CF" w14:paraId="2277E93C" w14:textId="77777777">
        <w:trPr>
          <w:trHeight w:val="288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7E5D30D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1F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CFB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0-1,8</w:t>
            </w:r>
          </w:p>
        </w:tc>
      </w:tr>
      <w:tr w:rsidR="00F714CF" w14:paraId="76934DCE" w14:textId="77777777">
        <w:trPr>
          <w:trHeight w:val="288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3B6927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EC8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46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m</w:t>
            </w:r>
          </w:p>
        </w:tc>
      </w:tr>
      <w:tr w:rsidR="00F714CF" w14:paraId="5AEF0379" w14:textId="77777777">
        <w:trPr>
          <w:trHeight w:val="288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1CBC9E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8B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A9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F714CF" w14:paraId="2A3035A2" w14:textId="77777777">
        <w:trPr>
          <w:trHeight w:val="288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E651C04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7DE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CB9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Dla zabudowy mieszkaniowej wielorodzinnej w terenach 1MW, 2MW, 3MW - nie mniej niż 1,5 miejsca do parkowania na każdy lokal mieszkalny,</w:t>
            </w:r>
          </w:p>
          <w:p w14:paraId="08A4828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dla zabudowy usługowej - nie mniej niż 1 miejsce do parkowania na każde rozpoczęte 100 m² powierzchni użytkowej usług;</w:t>
            </w:r>
          </w:p>
        </w:tc>
      </w:tr>
      <w:tr w:rsidR="00F714CF" w14:paraId="4EEC0089" w14:textId="77777777">
        <w:trPr>
          <w:trHeight w:val="1687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686515C" w14:textId="77777777" w:rsidR="00F714C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14:paraId="39EBF12B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FC1AF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FDB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00E0C3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B684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Funkcja zabudowy i zagospodarowania terenu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0D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Nie dotyczy.</w:t>
            </w:r>
          </w:p>
          <w:p w14:paraId="71428EB0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</w:pPr>
          </w:p>
          <w:p w14:paraId="2168DCD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Sposób użytkowania obiektów budowlanych oraz zagospodarowania terenu</w:t>
            </w:r>
          </w:p>
        </w:tc>
      </w:tr>
      <w:tr w:rsidR="00F714CF" w14:paraId="1B7DB393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EDD73F7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FA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Cechy zabudowy i zagospodarowania terenu:</w:t>
            </w:r>
          </w:p>
        </w:tc>
      </w:tr>
      <w:tr w:rsidR="00F714CF" w14:paraId="0FA83653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05EC553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E07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EA8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55DB9666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38D15D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40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4E5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14556FD6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425B57F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4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19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6F03CD0B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CB02721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F44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91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259A915A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FDE06D8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836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44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218B5534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C6EBDC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194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2F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3B870AAF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5077F1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406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7FF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14D816B6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6B1C140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A0B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99D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002C7EF5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0EBFC8A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0B5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780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7EE5E0F7" w14:textId="77777777">
        <w:trPr>
          <w:trHeight w:val="1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60F2025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0C8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EA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5004A265" w14:textId="77777777">
        <w:trPr>
          <w:trHeight w:val="73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3F464AE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przewidzianych inwestycji w promieniu 1 km od przedmiotowej nieruchomości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6"/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zawarte w:</w:t>
            </w:r>
          </w:p>
          <w:p w14:paraId="61C75847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94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733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Miejscowe plany zagospodarowania przestrzennego przewidują w sąsiedztwie Osiedla Słowiańskiego przebieg drogi publicznej łączącej ulicę Górczyńską z ulicą Myśliborską. Z uwagi na przebieg drogi przez tereny zielone Parku Słowiańskiego miałaby ona mieć postać estakady. W publicznie dostępnych dokumentach znaleźć można informacje, iż droga ta miałaby pełnić funkcję północnej obwodnicy Gorzowa,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jednakże pod uwagę brane są również inne przebiegi spełniające taką funkcję.</w:t>
            </w:r>
          </w:p>
          <w:p w14:paraId="2203C7B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Planowana jest rewitalizacja i rozbudowa Parku Słowiańskiego.</w:t>
            </w:r>
          </w:p>
          <w:p w14:paraId="061171B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publicznie dostępnych dokumentach nie ma informacji o przewidzianych korytarzach powietrznych w promieniu 1 km od inwestycji, budowie oczyszczalni ścieków, spalarni odpadów, wysypiska śmieci.</w:t>
            </w:r>
          </w:p>
          <w:p w14:paraId="6643BF0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MPZP określa możliwość powiększenia istniejącego cmentarza komunalnego przy ul. Żwirowej, o teren działki oznaczonej numerem 1807, oddalonej ok. 850 m od granicy działki, na której realizowana jest inwestycja.</w:t>
            </w:r>
          </w:p>
        </w:tc>
      </w:tr>
      <w:tr w:rsidR="00F714CF" w14:paraId="7D021812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D6ECA2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EAE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studium uwarunkowań i kierunków zagospodarowania przestrzennego gminy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6B6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2B60D6A9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4625995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A76" w14:textId="77777777" w:rsidR="00F714C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8D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4663B21D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D17DECC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03F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środowiskowych uwarunkowaniach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E12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4C53DC18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B4D76D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691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77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5BBD4C5B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82F52B8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3A0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odbudowy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036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3ED45649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8271E25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382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DBC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651D7AE3" w14:textId="77777777">
        <w:trPr>
          <w:trHeight w:val="7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2FF104C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3563" w14:textId="77777777" w:rsidR="00F714C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w zakresie rozmieszczenia inwestycji celu publicznego, mogące mieć znaczenie dla terenu objętego przedsięwzięciem deweloperskim lub zadaniem inwestycyjnym:</w:t>
            </w:r>
          </w:p>
          <w:p w14:paraId="1B09E185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7AEDDACC" w14:textId="77777777">
        <w:trPr>
          <w:trHeight w:val="84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70052EC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F64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99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756CB22A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EFCCDB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B41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71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0CCC8D24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5FBFC47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15E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85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3E16B266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E4F5D05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527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B4A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31FB0971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C6BD16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BA2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6B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254FCF28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6A5F58B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7F8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5A6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523E8C4E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1CAF6FE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05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1B3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40D4F866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4997430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5D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58C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7100C2B7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4A2670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782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infrastruktury dostępowej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EF8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6189191D" w14:textId="77777777">
        <w:trPr>
          <w:trHeight w:val="81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3ADAEB" w14:textId="77777777" w:rsidR="00F714CF" w:rsidRDefault="00F71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4DB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AE3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4CF" w14:paraId="32980D4E" w14:textId="77777777">
        <w:trPr>
          <w:trHeight w:val="390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557C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BUDYNKU</w:t>
            </w:r>
          </w:p>
          <w:p w14:paraId="7355833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0F056273" w14:textId="77777777">
        <w:trPr>
          <w:trHeight w:val="390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E433CE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jest pozwolenie na budowę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71E2" w14:textId="77777777" w:rsidR="00F714CF" w:rsidRDefault="00000000">
            <w:pPr>
              <w:widowControl w:val="0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7"/>
              <w:t>*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565" w14:textId="77777777" w:rsidR="00F714CF" w:rsidRDefault="00000000">
            <w:pPr>
              <w:widowControl w:val="0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nie*</w:t>
            </w:r>
          </w:p>
        </w:tc>
      </w:tr>
      <w:tr w:rsidR="00F714CF" w14:paraId="2FFBD1FE" w14:textId="77777777">
        <w:trPr>
          <w:trHeight w:val="390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9E96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ostateczne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5487" w14:textId="77777777" w:rsidR="00F714CF" w:rsidRDefault="00000000">
            <w:pPr>
              <w:widowControl w:val="0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tak*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92F7" w14:textId="77777777" w:rsidR="00F714CF" w:rsidRDefault="00000000">
            <w:pPr>
              <w:widowControl w:val="0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nie*</w:t>
            </w:r>
          </w:p>
        </w:tc>
      </w:tr>
      <w:tr w:rsidR="00F714CF" w14:paraId="1D75D0A0" w14:textId="77777777">
        <w:trPr>
          <w:trHeight w:val="390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AB3C2F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zaskarżone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0800" w14:textId="77777777" w:rsidR="00F714CF" w:rsidRDefault="00000000">
            <w:pPr>
              <w:widowControl w:val="0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tak*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970F" w14:textId="77777777" w:rsidR="00F714CF" w:rsidRDefault="00000000">
            <w:pPr>
              <w:widowControl w:val="0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nie*</w:t>
            </w:r>
          </w:p>
        </w:tc>
      </w:tr>
      <w:tr w:rsidR="00F714CF" w14:paraId="6AB0BA19" w14:textId="77777777">
        <w:trPr>
          <w:trHeight w:val="19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D14A1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90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227/17 z dnia 20 czerwca 2017 r., zatwierdzająca projekt budowlany i udzielająca pozwolenia na budowę trzech budynków mieszkalnych wielorodzinnych oznaczonych symbolem B1, B2, B3, wraz z infrastrukturą techniczną i zagospodarowaniem terenu, wy-dana z upoważnienia Prezydenta Miasta Gorzowa Wlkp. przez kierownika Referatu Architektury i Budownictwa mgr inż. arch. Pawła Jacewicza.</w:t>
            </w:r>
          </w:p>
          <w:p w14:paraId="3F6DB08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z dnia 30. czerwca 2021 roku o przeniesieniu decyzji nr 227/17 z dnia 20 czerwca 2017 r. na rzecz spółki pod firmą: Mój Dom Gorzów Sp. z o.o. wydana z upoważnienia Prezydenta Miasta Gorzowa Wlkp. przez kierownika Referatu Architektury i Budownictwa mgr inż. arch. Pawła Jacewicza.</w:t>
            </w:r>
          </w:p>
          <w:p w14:paraId="6E1A117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3/22 z dnia 3. stycznia 2022 roku zmieniająca Decyzję nr 227/17, wydana z upoważnienia Prezydenta Miasta Gorzowa Wlkp. przez kierownika Referatu Architektury i Budownictwa mgr inż. arch. Pawła Jacewicza.</w:t>
            </w:r>
          </w:p>
          <w:p w14:paraId="791D0E0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5/24 z dnia 4. stycznia 2024 roku zmieniająca decyzję nr 227/17 z dnia 20.06.2017 r. zmienioną następnie decyzją nr 3/22 z dnia 03.01.2022 r., wydana z upoważnienia Prezydenta Miasta Gorzowa Wlkp. przez kierownika Referatu Architektury i Budownictwa mgr inż. arch. Pawła Jacewicza.</w:t>
            </w:r>
          </w:p>
        </w:tc>
      </w:tr>
      <w:tr w:rsidR="00F714CF" w14:paraId="07EB3B49" w14:textId="77777777">
        <w:trPr>
          <w:trHeight w:val="19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8E045E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uprawomocnienia się decyzji o pozwoleniu na użytkowanie budynku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2D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Dla budynku B1 (ulica Węgierska 1A-D): 03.06.2024 r.</w:t>
            </w:r>
          </w:p>
          <w:p w14:paraId="129F64D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Dla budynków B2 i B3 (ulica Węgierska 3A-C, 5A-C): 28.06.2024 r.</w:t>
            </w:r>
          </w:p>
        </w:tc>
      </w:tr>
      <w:tr w:rsidR="00F714CF" w14:paraId="31AD811A" w14:textId="77777777">
        <w:trPr>
          <w:trHeight w:val="19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64E0A1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Data zakończenia budowy domu jednorodzinnego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1B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F714CF" w14:paraId="74B7C0C4" w14:textId="77777777">
        <w:trPr>
          <w:trHeight w:val="195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83E8A7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4CF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 rozpoczęcia prac budowlanych 01.01.2021 r.</w:t>
            </w:r>
          </w:p>
          <w:p w14:paraId="6A5FB53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Planowany termin zakończenia prac 30.06.2025 r.</w:t>
            </w:r>
          </w:p>
        </w:tc>
      </w:tr>
      <w:tr w:rsidR="00F714CF" w14:paraId="20A7BA8B" w14:textId="77777777">
        <w:trPr>
          <w:trHeight w:val="325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86B0B7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A40CEE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Opis przedsięwzięcia deweloperskiego albo zadania inwestycyjnego</w:t>
            </w:r>
          </w:p>
          <w:p w14:paraId="2990D67C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2C9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budynków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52A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F714CF" w14:paraId="0A84D9CD" w14:textId="77777777">
        <w:trPr>
          <w:trHeight w:val="325"/>
        </w:trPr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DAC333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EB8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Rozmieszczenie budynków na nieruchomości (należy podać minimalny odstęp między budynkami)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2B8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minimalny odstęp między budynkami 15,23 m</w:t>
            </w:r>
          </w:p>
        </w:tc>
      </w:tr>
      <w:tr w:rsidR="00F714CF" w14:paraId="1769D59E" w14:textId="77777777">
        <w:trPr>
          <w:trHeight w:val="48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5A4355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Sposób pomiaru powierzchni użytkowej lokalu mieszkalnego albo domu jednorodzinnego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FF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Powierzchnia lokalu zostanie ustalona na podstawie dokumentacji powykonawczej lub na życzenie i koszt Nabywcy na podstawie pomiaru z natury według normy PN-ISO-9836:1997, zgodnie z którą pomiar zostanie wykonany na poziomie podłogi, w świetle ścian otynkowanych.</w:t>
            </w:r>
          </w:p>
        </w:tc>
      </w:tr>
      <w:tr w:rsidR="00F714CF" w14:paraId="1276CB43" w14:textId="77777777"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234C8E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Zamierzony sposób i procentowy udział źródeł finansowania przedsięwzięcia deweloperskiego lub zadania inwestycyjnego</w:t>
            </w:r>
          </w:p>
          <w:p w14:paraId="4E0CB3E4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077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 posiadanych środków finansowych – kredyt, środki własne, inne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780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Środki własne.</w:t>
            </w:r>
          </w:p>
        </w:tc>
      </w:tr>
      <w:tr w:rsidR="00F714CF" w14:paraId="1DCCF33E" w14:textId="77777777"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2608295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85A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3A1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469D06E8" w14:textId="77777777">
        <w:trPr>
          <w:trHeight w:val="1481"/>
        </w:trPr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A9C5D80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Środki ochrony nabywców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86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Otwarty mieszkaniowy rachunek powierniczy*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C1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Zamknięty mieszkaniowy rachunek powierniczy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714CF" w14:paraId="6312B842" w14:textId="77777777"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1EBD5D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4C6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stawki procentowej, według której jest obliczana kwota składki na Deweloperski Fundusz Gwarancyjny</w:t>
            </w:r>
            <w:r>
              <w:rPr>
                <w:rStyle w:val="Zakotwicze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8"/>
              <w:t>6)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7C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dotyczy.</w:t>
            </w:r>
          </w:p>
        </w:tc>
      </w:tr>
      <w:tr w:rsidR="00F714CF" w14:paraId="4D337642" w14:textId="77777777"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033B150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Główne zasady funkcjonowania wybranego rodzaju zabezpieczenia środków nabywcy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52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art. 4 Ustawy o ochronie praw nabywcy lokalu mieszkalnego lub domu jednorodzinnego Deweloper zapewnia Nabywcom środek ochrony w postaci otwartego mieszkaniowego rachunku powierniczego, na podstawie zawartej w dniu 22.02.2022 r. z bankiem Lubuski Bank Spółdzielczy z siedzibą w Międzyrzeczu Umowy o prowadzenie otwartego mieszkaniowego rachunku powierniczego.</w:t>
            </w:r>
          </w:p>
          <w:p w14:paraId="66D148D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Otwarty mieszkaniowy rachunek powierniczy służyć będzie gromadzeniu środków pieniężnych pochodzących z wpłat dokonywanych przez nabywcę na cele określone w umowie deweloperskiej.</w:t>
            </w:r>
          </w:p>
          <w:p w14:paraId="05E46B1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Deweloper wskaże każdemu Nabywcy, w zawieranej z nim umowie deweloperskiej, numer indywidualnego rachunku, na który Nabywca będzie dokonywał wpłat.</w:t>
            </w:r>
          </w:p>
          <w:p w14:paraId="26ED75C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Deweloper ma prawo dysponować środkami pieniężnymi wypłacanymi z rachunku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powierniczego wyłącznie w celu realizacji przedsięwzięcia deweloperskiego, opisanego w niniejszym Prospekcie Informacyjnym.</w:t>
            </w:r>
          </w:p>
          <w:p w14:paraId="7ECB0E2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Wypłata środków pieniężnych zgromadzonych na rachunku powierniczym nastąpi pod warunkiem potwierdzenia przez Lubuski Bank Spółdzielczy z siedzibą w Międzyrzeczu wskazanego w dyspozycji wypłaty etapu realizacji inwestycji określonego w harmonogramie przedsięwzięcia deweloperskiego. Przed wypłatą środków bank dokonuje kontroli realizacji poszczególnych etapów przedsięwzięcia zawartych w harmonogramie. Kontrola polega na sprawdzeniu dokumentacji związanej z realizacją przedsięwzięcia oraz ocenę stanu faktycznego i dokonywana jest przez podmiot zewnętrzny współpracujący z bankiem.</w:t>
            </w:r>
          </w:p>
          <w:p w14:paraId="4EEAF25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Bank prowadzący mieszkaniowy rachunek powierniczy, na żądanie Nabywcy informuje Nabywcę o dokonanych wpłatach i wypłatach. </w:t>
            </w:r>
          </w:p>
          <w:p w14:paraId="265FDD5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Prawo wypowiedzenia umowy o prowadzenie otwartego mieszkaniowego rachunku powierniczego przysługuje wyłącznie bankowi i tylko z ważnych powodów.</w:t>
            </w:r>
          </w:p>
          <w:p w14:paraId="46BAC4A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Koszty związane z otwarciem i prowadzeniem otwartego mieszkaniowego rachunku powierniczego ponosi Deweloper.</w:t>
            </w:r>
          </w:p>
          <w:p w14:paraId="0617B63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Zawarcie umowy deweloperskiej, w formie aktu notarialnego, skutkuje wyłączeniem środków znajdujących się na rachunku: </w:t>
            </w:r>
          </w:p>
          <w:p w14:paraId="56B5B9D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z postępowania egzekucyjnego skierowanego przeciwko deweloperowi;</w:t>
            </w:r>
          </w:p>
          <w:p w14:paraId="14A6410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z masy upadłościowej   w razie ogłoszenia upadłości dewelopera, środki zgromadzone na rachunku stanowią osobną masę upadłości służącą zaspokojeniu w pierwszej kolejności nabywców lokali mieszkalnych lub domów jednorodzinnych, objętych przedsięwzięciem/zadaniem;</w:t>
            </w:r>
          </w:p>
          <w:p w14:paraId="491847B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 masy spadkowej   w przypadku śmierci Dewelopera będącego osobą fizyczną.</w:t>
            </w:r>
          </w:p>
          <w:p w14:paraId="4383D920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2D6975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14CF" w14:paraId="577C3216" w14:textId="77777777">
        <w:trPr>
          <w:trHeight w:val="293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4CAA20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Nazwa instytucji zapewniającej bezpieczeństwo środków nabywcy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79E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Lubuski Bank Spółdzielczy z siedzibą w Międzyrzeczu, ul. Kazimierza Wielkiego 24, 66-300 Międzyrzecz, wpisanym do Krajowego Rejestru Sądowego w Sądzie Rejonowym w Zielonej Górze pod nr KRS 0000084255, NIP 5961004160, REGON 000510907, Oddział Gorzów Wlkp. Plac Staromiejski 2, 66-400 Gorzów Wlkp.</w:t>
            </w:r>
          </w:p>
        </w:tc>
      </w:tr>
      <w:tr w:rsidR="00F714CF" w14:paraId="623411CF" w14:textId="77777777">
        <w:trPr>
          <w:trHeight w:val="48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29A656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Harmonogram przedsięwzięcia deweloperskiego lub zadania inwestycyjnego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4AC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etap – Roboty ziemne (wykopy) dla budynku B1,B2 i B3; Roboty fundamentowe dla budynków B1, B2 i B3 wraz z termoizolacją – których szacunkowy koszt stanowić będzie 10% w całkowitych kosztach przedsięwzięcia deweloperskiego.</w:t>
            </w:r>
          </w:p>
          <w:p w14:paraId="660F9C9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 etap – Ściany konstrukcyjne podpiwniczenia budynku B1, B2 i B3; Zasypki fundamentów – których szacunkowy koszt stanowić będzie 10% w całkowitych kosztach przedsięwzięcia deweloperskiego,</w:t>
            </w:r>
          </w:p>
          <w:p w14:paraId="7FF86D2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etap – Ściany nośne (konstrukcyjne) budynku B1 (parter,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Ściany działowe budynku B1 (parter,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Strop nad parterem,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Klatki schodowe od parteru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.; Stolarka okienna 50% - których szacunkowy koszt stanowić będzie 10% w całkowitych kosztach przedsięwzięcia deweloper-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8078D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IV etap – Ściany nośne (konstrukcyjne) budynku B2 (parter,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Ściany działowe budynku B2 (parter,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Strop B2 nad piwnicą, parterem,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.; Klatki schodowe B2 od 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Ściany nośne (konstrukcyjne) budynku B3 (parter,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Ściany działowe budynku B3 (parter,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Strop B3 nad piwnicą, parterem,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Klatki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-we B3 od 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– których szacunkowy koszt stanowić będzie 10% w całkowitych kosztach przedsięwzięcia deweloperskiego,</w:t>
            </w:r>
          </w:p>
          <w:p w14:paraId="73A98E5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V etap – Wewnętrzne instalacje elektryczne na B1 -zaawansowanie 50%; Wewnętrzne instalacje elektryczne na B2 -zaawansowanie 25%; Wewnętrzne instalacje elektryczne na B3 -zaawansowanie 25%;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wentylacja B1 - zaawansowanie 50%;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wentylacja B2 - zaawansowanie 25%;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wentylacja B3 - zaawansowanie 25%; – których szacunkowy koszt stanowić będzie 10% w całkowitych kosztach przedsięwzięcia deweloperskiego</w:t>
            </w:r>
          </w:p>
          <w:p w14:paraId="4AC5F07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 etap  – Wewnętrzne instalacje elektryczne na B1 -zaawansowanie 100%;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wentylacja na B1 - zaawansowanie 100%; Tynki wewnętrzne B1 - zaawansowanie 50%; Okładziny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gresowe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częściach wspólnych B1- zaawansowanie 50%; Sieci zewnętrzne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desz-czówka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instalacje elektryczne- zaawansowanie 90% – których szacunkowy koszt stanowić będzie 10% w całkowitych kosztach przedsięwzięcia deweloperskiego</w:t>
            </w:r>
          </w:p>
          <w:p w14:paraId="26A7489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 etap – Ściany nośne (konstrukcyjne) budynku B2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 - zaawansowanie 100%; Ściany działowe budynku B2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Strop B2 nad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Klatki schodowe B2 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Ścia-ny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nośne (konstrukcyjne) budynku B3 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.); Ściany działowe budynku B3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Strop B3 nad (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Klatki schodowe B3 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.; Stolarka okienna B1- zaawansowanie 100%; Stolarka okienna B2 i B3 - zaawansowanie 100%; Tynki wewnętrzne B1 - zaawansowanie 100%, – których szacunkowy koszt stano-wić będzie 10% w całkowitych kosztach przedsięwzięcia deweloperskiego.</w:t>
            </w:r>
          </w:p>
          <w:p w14:paraId="7A97D11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VIII etap – Okładziny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gresowe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częściach wspólnych B1- zaawansowanie 100%; Drzwi wewnątrzlokalowe B1 - zaawansowanie 100%; Elewacja na budynku B1- zaawansowanie 50%; Wewnętrzne instalacje elektryczne na B2 -zaawansowanie 50%; Wewnętrzne instalacje elektryczne na B3 -zaawansowanie 50%;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wentylacja B2 - zaawansowanie 50%;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wentylacja B3 - za-awansowanie 50%; Dach na B1 - zaawansowanie 100%; Wewnętrzne instalacje elektryczne na B1 i B2 - zawansowanie 50%, – których szacunkowy koszt stanowić będzie 10% w całkowitych kosztach przedsięwzięcia deweloperskiego.</w:t>
            </w:r>
          </w:p>
          <w:p w14:paraId="2D3E621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IX etap – Elewacja na B1 - zaawansowanie 100%; Balustrady wewnętrzne i zewnętrzne na B1- zaawansowanie 100%; Wewnętrzne instalacje elektryczne na B2 -zaawansowanie 100%; Wewnętrzne instalacje elektryczne na B3 -zaawansowanie 100%;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wentylacja B2 - zaawansowanie 100%; Wewnętrzne instalacje sanitarne,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wod.kan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wentylacja B3 - zaawansowanie 100%; Tynki wewnętrzne na B2 i B3 - zaawansowanie 50%; Dach na B2 i B3 - zaawansowanie 100%, – których szacunkowy koszt stanowić będzie 10% w całkowitych kosztach przedsięwzięcia deweloperskiego,</w:t>
            </w:r>
          </w:p>
          <w:p w14:paraId="4D44C48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 etap – Elewacja B2 i B3 - zaawansowanie 100%; Tynki B2 i B3 - zaawansowanie 100%; Dostawa wind na B1, B2 i B3; Drzwi do lokali mieszkalnych B2, B3 - zaawansowanie 100%; Sieci zewnętrzne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deszczówka, instalacje elektryczne- zaawansowanie 100%; Place parkingowe i tereny zewnętrzne - zaawansowanie 100%; Balustrady wewnętrzne i zewnętrzne na B2 i B3- zaawansowanie 100%; Pomieszczenia węzłów cieplnych na B1, B2 i B3; Ogródki na B1, B2 i B3 - zaawansowanie 100%; Zmiana mieszkań z antresolą na mieszkania jednopoziomowe w B2 i B3: wykonanie otworów drzwiowych na 4 piętrze, zaślepienie otworów w stropach nad 3 piętrem, wykonanie ścianek działowych na 4 piętrze, wykona-nie instalacji elektrycznej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wod-kan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4 piętrze, wydłużenie szybów windowych wraz z dodatkowym przystankiem na 4 piętrze - zaawansowanie 100%; Powiększenie zakresu piwnic pod bud. B1 z wydzieleniem komórek lokatorskich - zaawansowanie 100%. –  których szacunkowy koszt stanowić będzie 10% w całkowitych kosztach przedsięwzięcia deweloperskiego.</w:t>
            </w:r>
          </w:p>
        </w:tc>
      </w:tr>
      <w:tr w:rsidR="00F714CF" w14:paraId="4C4EF2FC" w14:textId="77777777">
        <w:trPr>
          <w:trHeight w:val="292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29C16D5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Dopuszczenie waloryzacji ceny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oraz określenie zasad waloryzacji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9AAF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Deweloper ma prawo do zmiany wysokości ceny o kwotę wynikającą z naliczenia podatku VAT lub innego podatku, który może zostać nałożony na podstawie przepisów wprowadzonych w życie po dniu podpisania umowy. Ostateczna wysokość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ceny będzie ustalona w oparciu o wartość podatku VAT lub nowego podatku obowiązującego w dniu podpisania umowy przeniesienia własności.</w:t>
            </w:r>
          </w:p>
        </w:tc>
      </w:tr>
      <w:tr w:rsidR="00F714CF" w14:paraId="116D113A" w14:textId="77777777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CC7C0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WARUNKI ODSTĄPIENIA OD UMOWY DEWELOPERSKIEJ LUB UMOWY, O KTÓREJ MOWA W ART. 2 UST. 1 PKT 2, 3 LUB 5 USTAWY Z DNIA …. O OCHRONIE PRAW NABYWCY LOKALU MIESZKALNEGO LUB DOMU JEDNORODZINNEGO ORAZ O DEWELOPERSKIM FUNDUSZU GWARANCYJNYM (Dz. U. …)</w:t>
            </w:r>
          </w:p>
          <w:p w14:paraId="3EBDC64B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14CF" w14:paraId="171B7ECC" w14:textId="77777777">
        <w:trPr>
          <w:trHeight w:val="1512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03A99B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 opisać, na jakich warunkach można odstąpić od umowy deweloperskiej lub jednej z umów, o których mowa w art. 2 ust. 1 pkt 2, 3 lub 5 ustawy z dnia … o ochronie praw nabywcy lokalu mieszkalnego lub domu jednorodzinnego oraz o Deweloperskim Funduszu Gwarancyjnym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CB7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Nabywca - zgodnie z art. 43 ustawy z dnia 20 maja 2021 roku o ochronie praw nabywcy lokalu mieszkalnego lub domu jednorodzinnego oraz Deweloperskim Funduszu Gwarancyjnym -  może odstąpić od umowy deweloperskiej w terminie 30 dni od jej zawarcia:</w:t>
            </w:r>
          </w:p>
          <w:p w14:paraId="28B445E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jeżeli umowa deweloperska albo umowa, o której mowa w art. 2 ust. 1 pkt 2, 3 lub 5, nie zawiera odpowiednio elementów, o których mowa w art. 35, albo elementów, o których mowa w art. 36;</w:t>
            </w:r>
          </w:p>
          <w:p w14:paraId="26E999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jeżeli informacje zawarte w umowie deweloperskiej albo umowie, o której mowa w art. 2 ust. 1 pkt 2, 3 lub 5, nie są zgodne z informacjami zawartymi w prospekcie informacyjnym lub jego załącznikach, z wyjątkiem zmian, o których mowa w art. 35 ust. 2;</w:t>
            </w:r>
          </w:p>
          <w:p w14:paraId="6AB0403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jeżeli deweloper nie doręczył zgodnie z art. 21 lub art. 22 prospektu informacyjnego wraz z załącznikami lub informacji o zmianie danych lub informacji zawartych w prospekcie informacyjnym lub jego załącznikach;</w:t>
            </w:r>
          </w:p>
          <w:p w14:paraId="069C78B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 jeżeli dane lub informacje zawarte w prospekcie informacyjnym lub jego załącznikach, na podstawie których zawarto umowę deweloperską albo umowę, o której mowa w art. 2 ust. 1 pkt 2, 3 lub 5, są niezgodne ze stanem faktycznym lub prawnym w dniu zawarcia umowy;</w:t>
            </w:r>
          </w:p>
          <w:p w14:paraId="3BCFCC3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 jeżeli prospekt informacyjny, na podstawie którego zawarto umowę deweloperską albo umowę, o której mowa w art. 2 ust. 1 pkt 2, 3 lub 5, nie zawiera danych lub informacji określonych we wzorze prospektu informacyjnego;</w:t>
            </w:r>
          </w:p>
          <w:p w14:paraId="2DD920C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f) w przypadku nie przeniesienia na nabywcę praw wynikających z umowy deweloperskiej albo umowy, o której mowa w art. 2 ust. 1 pkt 2, 3 lub 5, w terminie wynikającym z tych umów;</w:t>
            </w:r>
          </w:p>
          <w:p w14:paraId="7DCA8BB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g) w przypadku gdy deweloper nie zawrze umowy mieszkaniowego rachunku powierniczego z innym bankiem w trybie i terminie, o których mowa w art. 10 ust. 1;</w:t>
            </w:r>
          </w:p>
          <w:p w14:paraId="5E5ED22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h) w przypadku gdy deweloper nie posiada zgody wierzyciela hipotecznego lub zobowiązania do jej udzielenia, o których mowa w art. 25 ust. 1 pkt 1 lub 2;</w:t>
            </w:r>
          </w:p>
          <w:p w14:paraId="76B0367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i) w przypadku niewykonania przez dewelopera obowiązku, o którym mowa w art. 12 ust. 2, w terminie określonym w tym przepisie;</w:t>
            </w:r>
          </w:p>
          <w:p w14:paraId="61277F4D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j) w przypadku nieusunięcia przez dewelopera wady istotnej lokalu mieszkalnego albo domu jednorodzinnego na zasadach określonych w art. 41 ust. 11;</w:t>
            </w:r>
          </w:p>
          <w:p w14:paraId="434B8CC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k) w przypadku stwierdzenia przez rzeczoznawcę istnienia wady istotnej, o którym mowa w art. 41 ust. 15;</w:t>
            </w:r>
          </w:p>
          <w:p w14:paraId="4465A0E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l) jeżeli syndyk zażądał wykonania umowy na podstawie art. 98 ustawy z dnia 28 lutego 2003 r. – Prawo upadłościowe.</w:t>
            </w:r>
          </w:p>
          <w:p w14:paraId="09DA0D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Nabywca ma prawo do odstąpienia od umowy deweloperskiej:</w:t>
            </w:r>
          </w:p>
          <w:p w14:paraId="0D426DE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w przypadku gdy Deweloper nie zawrze umowy mieszkaniowego rachunku powierniczego z innym bankiem w trybie i terminie, o których mowa w art. 10 ust. 1 Ustawy o ochronie praw nabywcy lokalu mieszkalnego lub domu jednorodzinnego oraz Deweloperskim Fun-duszu Gwarancyjnym tj. niezwłocznie nie później niż 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terminie 60 dni od dnia wypowiedzenia poprzedniej umowy. Nabywca ma prawo do odstąpienia od umowy deweloperskiej w powyższym przypadku po dokonaniu przez bank zwrotu środków, zgodnie z art. 10 ust. 3 Ustawy o ochronie praw nabywcy lokalu mieszkalnego lub domu jednorodzinnego oraz Deweloperskim Funduszu Gwarancyjnym.</w:t>
            </w:r>
          </w:p>
          <w:p w14:paraId="487E5C0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w przypadku niewykonania przez Dewelopera obowiązku, o którym mowa w art. 12 ust. 2 Ustawy o ochronie praw nabywcy lokalu mieszkalnego lub domu jednorodzinnego oraz Deweloperskim Funduszu Gwarancyjnym tj. poinformowania Nabywcy na papierze lub innym trwałym nośniku o zawarciu umowy mieszkaniowego rachunku powierniczego z innym bankiem – w terminie określonym w tym przepisie, tj. dziesięciu dni od dnia zawarcia takiej umowy.</w:t>
            </w:r>
          </w:p>
          <w:p w14:paraId="329D6C1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Nabywca ma prawo do odstąpienia od umowy deweloperskiej – w powyższym przypadku – po upływie 60 dni od dnia podania do publicznej wiadomości informacji, o których mowa w art. 12 ust. 1 Ustawy o ochronie praw nabywcy lokalu mieszkalnego lub domu jednorodzinnego oraz Deweloperskim Funduszu Gwarancyjnym tj. informacji o spełnieniu warunków gwarancji – w rozumieniu ustawy z dnia 10 czerwca 2016 roku o Bankowym Funduszu Gwarancyjnym (…) wobec banku prowadzącego mieszkaniowy rachunek powierniczy.</w:t>
            </w:r>
          </w:p>
          <w:p w14:paraId="5C483EE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Nabywca może odstąpić od umowy w przypadku nie przeniesienia na Nabywcę odrębnej własności lokalu w terminie określonym w umowie deweloperskiej, po bezskutecznym upływie 120 – dniowego terminu, wyznaczonego uprzednio Deweloperowi przez Nabywcę do przeniesienia tego prawa. Nabywca zachowuje roszczenie z tytułu kary umownej za okres opóźnienia.</w:t>
            </w:r>
          </w:p>
          <w:p w14:paraId="5AA2765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W przypadku skorzystania przez Nabywcę z prawa odstąpienia, o którym mowa w art. 29 powołanej wyżej ustawy, umowa uważana jest za niezawartą, a Nabywca nie ponosi żadnych kosztów związanych z odstąpieniem od umowy. Oświadczenie Nabywcy o odstąpieniu od umowy jest skuteczne, jeżeli zawiera zgodę na wykreślenie roszczenia o przeniesienie własności lokalu, złożone w formie pisemnej z podpisem notarialne poświadczonym, w przypadku, gdy zło-żony został wniosek o wpis takiego roszczenia do księgi wieczystej.</w:t>
            </w:r>
          </w:p>
          <w:p w14:paraId="25A1DD1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Nabywca może odstąpić od umowy – bez obciążania go przez Dewelopera karami umownymi, jak również bez prawa żądania od Dewelopera zapłaty kary umownej - w przypadku:</w:t>
            </w:r>
          </w:p>
          <w:p w14:paraId="4DAA8E4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podwyższenia stawki podatku VAT oraz zmiany ceny o kwotę wynikającą z naliczenia innego podatku, który może zostać nałożony na podstawie przepisów wprowadzonych w życie po podpisaniu umowy - mającej wpływ na wysokość ceny, lub</w:t>
            </w:r>
          </w:p>
          <w:p w14:paraId="2320D6A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wystąpienia różnicy w powierzchni lokalu objętego umową, pomiędzy podaną w umowie, a powierzchnią faktyczną. Prawo to Nabywca może wykonać poprzez złożenie odpowiedniego oświadczenia na piśmie, z podpisem notarialnie poświadczonym – w terminie 30 (trzydziestu) dni od dnia doręczenia pisemnej informacji o zmianie ceny lub od dnia powzięcia wiadomości o nieprawidłowej powierzchni lokalu, pod rygorem utraty prawa do odstąpienia. Oświadczenie o odstąpieniu jest skuteczne, jeśli zawiera zgodę Nabywcy na wykreślenie praw i roszeń ujawnionych w księdze wieczystej prowadzonej dla nieruchomości, opisanej w umowie deweloperskiej,</w:t>
            </w:r>
          </w:p>
          <w:p w14:paraId="3DD728C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 Deweloper może odstąpić od umowy – zgodnie z art. 43 ustawy z dnia 20 maja 2021 roku o ochronie praw nabywcy lokalu mieszkalnego lub domu jednorodzinnego oraz Deweloperskim Funduszu Gwarancyjnym – w przypadku: </w:t>
            </w:r>
          </w:p>
          <w:p w14:paraId="0244DE1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a/ niespełnienia przez Nabywcę świadczenia pieniężnego w terminie lub wysokości, określonej w umowie deweloperskiej, mimo wezwania Nabywcy w formie pisemnej do uiszczenia zaległych kwot w terminie 30 (trzydziestu) dni od dnia doręczenia wezwania, chyba, że niespełnienie przez Nabywcę świadczenia pieniężnego jest spowodowane działaniem siły wyższej,</w:t>
            </w:r>
          </w:p>
          <w:p w14:paraId="270828B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b/ niestawienia się NABYWCY do odbioru lokalu lub nie zawarcia aktu notarialnego przenoszącego na niego prawo własności lokalu, pomimo dwukrotnego doręczania wezwania w formie pisemnej w odstępie co najmniej 60 (sześćdziesięciu) dni, chyba, że niestawienie się NABYWCY jest spowodowane działaniem siły wyższej.</w:t>
            </w:r>
          </w:p>
          <w:p w14:paraId="7F0EB59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W przypadku niedokonania wpłat przez Nabywcę w kwotach i terminach określonych w harmonogramie umowy deweloperskiej, Deweloperowi przysługują odsetki ustawowe za każdy dzień opóźnienia, liczone od dnia wymagalności do dnia zapłaty.</w:t>
            </w:r>
          </w:p>
          <w:p w14:paraId="7259732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W przypadku niedotrzymania przez Dewelopera terminu odbioru, określonego w umowie deweloperskiej albo terminu zawarcia umowy ustanowienia odrębnej własności tego lokalu i przeniesienia jego własności na rzecz Nabywcy, określonego w umowie deweloperskiej, Deweloper zobowiązany będzie zapłacić Nabywcy karę umowną za okres opóźnienia w wysokości 0,01 % ceny brutto lokalu, za każdy dzień opóźnienia.</w:t>
            </w:r>
          </w:p>
          <w:p w14:paraId="6CA30DB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 W przypadku niestawienia się Nabywcy do odbioru lokalu, o którym mowa w umowie deweloperskiej albo do zawarcia umowy ustanowienia odrębnej własności tego lokalu i przeniesienia jego własności na rzecz Nabywcy, o której mowa w umowie deweloperskiej, Nabywca zobowiązany będzie zapłacić Deweloperowi karę umowną za okres opóźnienia w wysokości 0,01 % ceny brutto lokalu, za każ-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dzień opóźnienia.</w:t>
            </w:r>
          </w:p>
          <w:p w14:paraId="4651CCA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 Wysokość odsetek zastrzeżonych na rzecz Dewelopera nie może przewyższać kar umownych zastrzeżonych na rzecz Nabywcy.</w:t>
            </w:r>
          </w:p>
          <w:p w14:paraId="4B2595F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 W przypadku skorzystania przez którąkolwiek ze stron z prawa odstąpienia, o którym mowa w art. 43 powołanej wyżej Ustawy:</w:t>
            </w:r>
          </w:p>
          <w:p w14:paraId="7BF6D00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 stosownie do postanowień § 8 Umowy o prowadzenie otwartego mieszkaniowego rachunku powierniczego - Bank wypłaca Nabywcy przypadające mu środki z tytułu dokonywanych wpłat, pomniejszone o udział przypisany danemu Nabywcy w wypłatach dokonanych na rzecz Dewelopera - zgodnie z prowadzoną w Banku ewidencją wpłat i wypłat na koncie technicznym, bez żadnych potrąceń, kar umownych i innych należności zastrzeżonych w umowie deweloperskiej - niezwłocznie, jednakże nie później niż w terminie do 21 (dwudziestu jeden) dni roboczych od dnia przedstawienia w Banku dokumentów, o których mowa w ustępie 1 lub 2 poniżej. -------------</w:t>
            </w:r>
          </w:p>
          <w:p w14:paraId="4697E90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Gdy Nabywca/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odstąpi/ą od umowy deweloperskiej ma/mają on/oni obowiązek przedstawić w Banku:</w:t>
            </w:r>
          </w:p>
          <w:p w14:paraId="4CD3597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dokument tożsamości</w:t>
            </w:r>
          </w:p>
          <w:p w14:paraId="631C9667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pisemne oświadczenie o odstąpieniu od umowy deweloperskiej  wraz z podaniem podstawy odstąpienia, oraz zgody Nabywcy/ów – złożone w formie pisemnej z podpisem/podpisami notarialnie poświadczonymi - na wykreślenie w księdze wieczystej prowadzonej dla nieruchomości opisanej w umowie deweloperskiej - roszczenia o przeniesienie własności nieruchomości</w:t>
            </w:r>
          </w:p>
          <w:p w14:paraId="5AC2DBA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oryginał (poświadczoną notarialnie kopię) dowodu doręczenia Deweloperowi oświadczenia, o którym mowa w b) powyżej,</w:t>
            </w:r>
          </w:p>
          <w:p w14:paraId="0070DD7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 umowę deweloperską, jeżeli Bank nie znajduje się w jej posiadaniu,</w:t>
            </w:r>
          </w:p>
          <w:p w14:paraId="04ED3BF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e) pisemne oświadczenie Nabywcy/ów w którym wskazany został numer rachunku bankowego Nabywcy/ów (cesjonariusza), na który mają być przekazane środki wpłacone przez tego/tych Nabywcę/ów na rachunek za pośrednictwem konta technicznego. </w:t>
            </w:r>
          </w:p>
          <w:p w14:paraId="1C21E70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Gdy Deweloper odstąpi od umowy deweloperskiej – wraz z dyspozycją wypłaty - Nabywca/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ma/mają obowiązek przedstawić w Banku:</w:t>
            </w:r>
          </w:p>
          <w:p w14:paraId="5BA96971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a) dokument tożsamości,</w:t>
            </w:r>
          </w:p>
          <w:p w14:paraId="0D3F09CE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oświadczenie Dewelopera o odstąpieniu od umowy deweloperskiej wraz z podaniem podstawy odstąpienia, </w:t>
            </w:r>
          </w:p>
          <w:p w14:paraId="4667D54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umowę deweloperską, jeżeli Bank nie znajduje się w jej posiadaniu,</w:t>
            </w:r>
          </w:p>
          <w:p w14:paraId="186E4D3B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 pisemne oświadczenie Nabywcy/ów, w którym wskazany został numer rachunku bankowego Nabywcy/ów (cesjonariusza), na który mają być przekazane środki wpłacone przez tego/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Nabywcę/ów na rachunek za pośrednictwem konta technicznego.</w:t>
            </w:r>
          </w:p>
          <w:p w14:paraId="5A957FA3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II. Środki zgromadzone z tytułu dokonywanych wpłat przez Nabywców/ę wypłacone już przez Bank Deweloperowi – Deweloper zwróci Nabywcy/om niezwłocznie, jednakże nie później niż w terminie do 21 (dwudziestu jeden) dni roboczych od dnia przedstawienia Deweloperowi oświadczenia o odstąpieniu od umowy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dewelo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-perskiej.</w:t>
            </w:r>
          </w:p>
          <w:p w14:paraId="344E7AB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 W przypadku rozwiązania umowy deweloperskiej innego niż na podstawie art. 29 powołanej wyżej ustawy:</w:t>
            </w:r>
          </w:p>
          <w:p w14:paraId="41C5900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stosownie do postanowień § 8 powołanej wyżej Umowy o prowadzenie otwartego mieszkaniowego rachunku powierniczego – warunkiem wypłaty środków pieniężnych z rachunku jest przedłożenie w Banku zgodnych oświadczeń woli (porozumienia) Stron umowy deweloperskiej o sposobie podziału środków pieniężnych zgromadzonych przez Nabywcę/ów na indywidualnym rachunku bankowym (koncie technicznym) pomniejszonych o udział przypisany danemu/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Nabywcy/om w wypłatach dokonanych na rzecz Dewelopera.</w:t>
            </w:r>
          </w:p>
          <w:p w14:paraId="5333FB98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Bank wypłaca środki zgromadzone na rachunku w nominalnej wysokości niezwłocznie, jednakże nie później niż w terminie do 21 dni roboczych od dnia otrzymania oświadczeń woli, o których mowa w ust. a) powyżej.</w:t>
            </w:r>
          </w:p>
          <w:p w14:paraId="0C47CAE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c) Środki zgromadzone z tytułu dokonywanych wpłat przez Nabywcę/ów wypłacone już przez Bank Deweloperowi – Deweloper zwróci Nabywcy/om niezwłocznie, jednakże nie później niż w terminie do 21 dni roboczych od dnia przedstawienia Deweloperowi oświadczenia o odstąpieniu od umowy deweloperskiej; strony umowy deweloperskiej ustalą sposób podziału tych środków.</w:t>
            </w:r>
          </w:p>
          <w:p w14:paraId="393F4A0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 Jeżeli Deweloper po ujawnieniu w księdze wieczystej praw i roszczeń Nabywcy/ów, wynikających z umowy deweloperskiej, odstąpił od umowy w przypadkach, o których mowa w punkcie 5, Nabywca/y zobowiązuje/ą się do doręczenia Deweloperowi oświadczenia woli złożonego w formie pisemnej z podpisem/podpisami notarialnie poświadczonym/i zawierającego zgodę na wykreślenie praw i roszczeń ujawnionych w księdze wieczystej prowadzonej dla nieruchomości. Nabywca/y jest/są zobowiązany/i doręczyć Deweloperowi powyższą zgodę w terminie 7 (siedmiu) dni od dnia doręczenia im oświadczenia o odstąpieniu od umowy przez Dewelopera, a w przypadku niedoręczenia tej zgody w tym terminie, jest/są zobowiązany/i do zapłaty na rzecz Dewelopera kary umownej w wysokości 0,01% ceny brutto lokalu za każdy dzień opóźnienia.</w:t>
            </w:r>
          </w:p>
          <w:p w14:paraId="4C087132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 W złożonym w formie aktu notarialnego oświadczeniu o rozwiązaniu umowy deweloperskiej:</w:t>
            </w:r>
          </w:p>
          <w:p w14:paraId="7AEB65E6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 Nabywca/y wyrazi/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żą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zgodę na wykreślenie w księdze wieczystej prowadzonej dla nieruchomości opisanej w umowie deweloperskiej roszczenia o przeniesienie własności nieruchomości,</w:t>
            </w:r>
          </w:p>
          <w:p w14:paraId="33B1277C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 strony ustalą sposób przekazania przez Bank środków pieniężnych znajdujących się na przypisanym do Nabywcy/ów indywidualnym rachunku (koncie technicznym) zarówno Posiadaczowi rachunku jak i Nabywcy/om – ze wskazaniem numeru rachunku bankowego Nabywcy/ów (cesjonariusza), na który mają być przekazane środki wpłacone przez tego/tych Nabywcę/ów na rachunek za pośrednictwem konta technicznego,</w:t>
            </w:r>
          </w:p>
          <w:p w14:paraId="2E448E8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c) strony ustalą sposób przekazania przez Dewelopera środków pieniężnych wypłaconych Deweloperowi z indywidualnego rachunku (konta technicznego).</w:t>
            </w:r>
          </w:p>
        </w:tc>
      </w:tr>
      <w:tr w:rsidR="00F714CF" w14:paraId="5A86F636" w14:textId="77777777">
        <w:trPr>
          <w:trHeight w:val="510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C17B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INNE INFORMACJE </w:t>
            </w:r>
          </w:p>
        </w:tc>
      </w:tr>
      <w:tr w:rsidR="00F714CF" w14:paraId="0C3F2DB8" w14:textId="77777777">
        <w:trPr>
          <w:trHeight w:val="1512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6A065F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 Informacja o:</w:t>
            </w:r>
          </w:p>
          <w:p w14:paraId="52736661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zgodzie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zgodzie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istnieje; </w:t>
            </w:r>
          </w:p>
          <w:p w14:paraId="302B67F0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 umów, o których mowa w art. 2 ust. 2 ustawy z dnia … o ochronie praw nabywcy lokalu mieszkalnego lub domu jednorodzinnego oraz o Deweloperskim Funduszu Gwarancyjnym,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zgodzie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 do udzielenia takiej zgody, jeżeli takie obciążenie istnieje, albo zgodzie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F714CF" w14:paraId="5A7ED7D7" w14:textId="77777777">
        <w:trPr>
          <w:trHeight w:val="1512"/>
        </w:trPr>
        <w:tc>
          <w:tcPr>
            <w:tcW w:w="964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C9A2E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II. Informacja o możliwości zapoznania się w lokalu przedsiębiorstwa przez osobę zainteresowaną zawarciem umowy odpowiednio do zakresu umowy z:</w:t>
            </w:r>
          </w:p>
          <w:p w14:paraId="487BD841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aktualnym stanem księgi wieczystej;</w:t>
            </w:r>
          </w:p>
          <w:p w14:paraId="52240928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 lub wydrukiem ze strony internetowej tej ewidencji;</w:t>
            </w:r>
          </w:p>
          <w:p w14:paraId="4B8031AD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kopią decyzji o pozwoleniu na budowę;</w:t>
            </w:r>
          </w:p>
          <w:p w14:paraId="0FFE9424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sprawozdaniem finansowym dewelopera za ostatnie dwa lata, a w przypadku realizacji inwestycji przez spółkę celową – sprawozdaniem spółki dominującej oraz spółki celowej;</w:t>
            </w:r>
          </w:p>
          <w:p w14:paraId="3485D7D6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projektem budowlanym;</w:t>
            </w:r>
          </w:p>
          <w:p w14:paraId="0DB5ED69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kopią decyzji o pozwoleniu na użytkowanie budynku;</w:t>
            </w:r>
          </w:p>
          <w:p w14:paraId="17617F42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zaświadczeniem o samodzielności lokalu;</w:t>
            </w:r>
          </w:p>
          <w:p w14:paraId="125BBD9A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aktem ustanowienia odrębnej własności lokalu;</w:t>
            </w:r>
          </w:p>
          <w:p w14:paraId="64858061" w14:textId="77777777" w:rsidR="00F714CF" w:rsidRDefault="00000000">
            <w:pPr>
              <w:widowControl w:val="0"/>
              <w:numPr>
                <w:ilvl w:val="0"/>
                <w:numId w:val="3"/>
              </w:numPr>
              <w:spacing w:before="144" w:after="144" w:line="240" w:lineRule="auto"/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dokumentem potwierdzającym:</w:t>
            </w:r>
          </w:p>
          <w:p w14:paraId="709AF55B" w14:textId="77777777" w:rsidR="00F714CF" w:rsidRDefault="0000000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1163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zobowiązaniem do jej udzielenia, jeżeli takie obciążenie istnieje, albo zgodą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zobowiązaniem do jej udzielenia, jeżeli takie obciążenie istnieje, </w:t>
            </w:r>
          </w:p>
          <w:p w14:paraId="03C3A863" w14:textId="77777777" w:rsidR="00F714CF" w:rsidRDefault="00000000">
            <w:pPr>
              <w:widowControl w:val="0"/>
              <w:numPr>
                <w:ilvl w:val="0"/>
                <w:numId w:val="4"/>
              </w:numPr>
              <w:spacing w:before="144" w:after="144" w:line="240" w:lineRule="auto"/>
              <w:ind w:left="1163" w:hanging="42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 umów, o których mowa w art. 2 ust. 2 z dnia 20 maja 2021 o ochronie praw nabywcy lokalu mieszkalnego lub domu jednorodzinnego oraz o Deweloperskim Funduszu Gwarancyjnym,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zgodą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zobowiązaniem do udzielenia takiej zgody, jeżeli takie obciążenie istnieje, albo zgodą banku lub innego wierzyciela hipotecznego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zobowiązaniem do udzielenia takiej zgody, jeżeli takie obciążenie istnieje.</w:t>
            </w:r>
          </w:p>
          <w:p w14:paraId="041F890D" w14:textId="77777777" w:rsidR="00F714CF" w:rsidRDefault="00F714CF">
            <w:pPr>
              <w:widowControl w:val="0"/>
              <w:spacing w:before="144" w:after="14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D97C35" w14:textId="77777777" w:rsidR="00F714CF" w:rsidRDefault="00000000">
            <w:pPr>
              <w:widowControl w:val="0"/>
              <w:spacing w:before="144" w:after="144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 wymienionymi wyżej dokumentami można zapoznać się w biurze Dewelopera przy ul. Walczaka 112, 66-400 Gorzów Wlkp.</w:t>
            </w:r>
          </w:p>
        </w:tc>
      </w:tr>
      <w:tr w:rsidR="00F714CF" w14:paraId="47E170DF" w14:textId="77777777">
        <w:trPr>
          <w:trHeight w:val="1512"/>
        </w:trPr>
        <w:tc>
          <w:tcPr>
            <w:tcW w:w="9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4419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III. Informacja:</w:t>
            </w:r>
          </w:p>
          <w:p w14:paraId="49E049A0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Środki pieniężne zgromadzone w Lubuskim Banku Spółdzielczym, prowadzącym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 restrukturyzacji (Dz. U. z 2020 r. poz. 842).</w:t>
            </w:r>
          </w:p>
          <w:p w14:paraId="3C755119" w14:textId="77777777" w:rsidR="00F714CF" w:rsidRDefault="00F714CF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4FAFA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podstawowe o obowiązkowym systemie gwarantowania depozytów:</w:t>
            </w:r>
          </w:p>
          <w:p w14:paraId="690D5349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ochrona środków dotyczy sytuacji spełnienia warunku gwarancji wobec LBS,</w:t>
            </w:r>
          </w:p>
          <w:p w14:paraId="3F410B22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</w:t>
            </w:r>
          </w:p>
          <w:p w14:paraId="3D54FB9B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limit gwarancyjny przypadający na jednego deponenta to równowartość w złotych 100 000 euro; w przypadkach określonych w art. 24 ust. 3 i 4 ustawy z dnia 10 czerwca 2016 r. o Bankowym Funduszu Gwarancyjnym, systemie gwarantowania depozytów oraz przymusowej restrukturyzacji, środki deponenta, w terminie 3 miesięcy od dnia ich wpływu na rachunek, objęte są gwarancjami ponad równowartość w złotych 100 000 euro,</w:t>
            </w:r>
          </w:p>
          <w:p w14:paraId="00454480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</w:t>
            </w:r>
          </w:p>
          <w:p w14:paraId="7C619825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wypłata środków gwarantowanych – co do zasady – następuje w terminie 7 dni roboczych od dnia spełnienia warunku gwarancji wobec banku,</w:t>
            </w:r>
          </w:p>
          <w:p w14:paraId="4716C5BE" w14:textId="77777777" w:rsidR="00F714CF" w:rsidRDefault="00000000">
            <w:pPr>
              <w:widowControl w:val="0"/>
              <w:spacing w:before="144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wypłata środków gwarantowanych jest dokonywana w złotych,</w:t>
            </w:r>
          </w:p>
          <w:p w14:paraId="4FACED74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Dalsze informacje na temat systemu gwarantowania depozytów można uzyskać na stronie internetowej Bankowego Funduszu Gwarancyjnego: https://www.bfg.pl/.</w:t>
            </w:r>
          </w:p>
          <w:p w14:paraId="381E5667" w14:textId="77777777" w:rsidR="00F714CF" w:rsidRDefault="00000000">
            <w:pPr>
              <w:widowControl w:val="0"/>
              <w:numPr>
                <w:ilvl w:val="0"/>
                <w:numId w:val="2"/>
              </w:numPr>
              <w:tabs>
                <w:tab w:val="left" w:pos="314"/>
                <w:tab w:val="left" w:pos="728"/>
              </w:tabs>
              <w:spacing w:before="144" w:after="144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Informacja zamieszczana w przypadku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zawarcia umowy mieszkaniowego rachunku powierniczego z oddziałem instytucji kredytowej, o której mowa w art. 4 ust. 1 pkt 18 ustawy z dnia 29 sierpnia 1997 r. – Prawo bankowe (Dz. U. z 2020 r. poz. 1896, 2320 i 2419).</w:t>
            </w:r>
          </w:p>
          <w:p w14:paraId="7EE59065" w14:textId="77777777" w:rsidR="00F714CF" w:rsidRDefault="00000000">
            <w:pPr>
              <w:widowControl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Oddział instytucji kredytowej, w rozumieniu art. 4 ust. 1 pkt 18 ustawy z dnia 29 sierpnia 1997 r. – Prawo bankowe jest objęty systemem gwarantowania państwa macierzystego, co oznacza, że nie mają do niego zastosowania przepisy ustawy z dnia 10 czerwca 2016 r. o Bankowym Funduszu Gwarancyjnym systemie gwarantowania depozytów oraz przymusowej restrukturyzacji.</w:t>
            </w:r>
          </w:p>
        </w:tc>
      </w:tr>
    </w:tbl>
    <w:p w14:paraId="2EB3F05B" w14:textId="77777777" w:rsidR="00F714CF" w:rsidRDefault="00F714CF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18A8A0" w14:textId="77777777" w:rsidR="00F714CF" w:rsidRDefault="00F714CF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09EC98" w14:textId="77777777" w:rsidR="00F714CF" w:rsidRDefault="00F714CF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C687B2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CZĘŚĆ INDYWIDUALNA</w:t>
      </w:r>
    </w:p>
    <w:p w14:paraId="1350708A" w14:textId="77777777" w:rsidR="00F714CF" w:rsidRDefault="00F714CF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111"/>
        <w:tblW w:w="9044" w:type="dxa"/>
        <w:tblLayout w:type="fixed"/>
        <w:tblLook w:val="04A0" w:firstRow="1" w:lastRow="0" w:firstColumn="1" w:lastColumn="0" w:noHBand="0" w:noVBand="1"/>
      </w:tblPr>
      <w:tblGrid>
        <w:gridCol w:w="3071"/>
        <w:gridCol w:w="3068"/>
        <w:gridCol w:w="2905"/>
      </w:tblGrid>
      <w:tr w:rsidR="00F714CF" w14:paraId="769601E6" w14:textId="77777777">
        <w:tc>
          <w:tcPr>
            <w:tcW w:w="3071" w:type="dxa"/>
            <w:shd w:val="clear" w:color="auto" w:fill="F2F2F2"/>
          </w:tcPr>
          <w:p w14:paraId="0FFA0C71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lokalu mieszkalnego albo domu jednorodzinnego</w:t>
            </w:r>
          </w:p>
        </w:tc>
        <w:tc>
          <w:tcPr>
            <w:tcW w:w="5973" w:type="dxa"/>
            <w:gridSpan w:val="2"/>
          </w:tcPr>
          <w:p w14:paraId="06BC0845" w14:textId="27F74952" w:rsidR="00F714CF" w:rsidRDefault="0099057D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……………….. zł </w:t>
            </w:r>
          </w:p>
        </w:tc>
      </w:tr>
      <w:tr w:rsidR="00F714CF" w14:paraId="5D47A9D4" w14:textId="77777777">
        <w:tc>
          <w:tcPr>
            <w:tcW w:w="3071" w:type="dxa"/>
            <w:shd w:val="clear" w:color="auto" w:fill="F2F2F2"/>
          </w:tcPr>
          <w:p w14:paraId="73D3D5A7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Powierzchnia użytkowa lokalu mieszkalnego albo domu jednorodzinnego</w:t>
            </w:r>
          </w:p>
        </w:tc>
        <w:tc>
          <w:tcPr>
            <w:tcW w:w="5973" w:type="dxa"/>
            <w:gridSpan w:val="2"/>
          </w:tcPr>
          <w:p w14:paraId="20B866AC" w14:textId="059A15C9" w:rsidR="00F714CF" w:rsidRDefault="0099057D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……………. m2</w:t>
            </w:r>
          </w:p>
        </w:tc>
      </w:tr>
      <w:tr w:rsidR="00F714CF" w14:paraId="754AAF0D" w14:textId="77777777">
        <w:tc>
          <w:tcPr>
            <w:tcW w:w="3071" w:type="dxa"/>
            <w:shd w:val="clear" w:color="auto" w:fill="F2F2F2"/>
          </w:tcPr>
          <w:p w14:paraId="214AFF96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powierzchni użytkowej lokalu mieszkalnego albo domu jednorodzinnego</w:t>
            </w:r>
          </w:p>
        </w:tc>
        <w:tc>
          <w:tcPr>
            <w:tcW w:w="5973" w:type="dxa"/>
            <w:gridSpan w:val="2"/>
          </w:tcPr>
          <w:p w14:paraId="553BE19A" w14:textId="235C5819" w:rsidR="00F714CF" w:rsidRDefault="0099057D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………………… zł/m2</w:t>
            </w:r>
          </w:p>
        </w:tc>
      </w:tr>
      <w:tr w:rsidR="00F714CF" w14:paraId="61BB54F4" w14:textId="77777777">
        <w:tc>
          <w:tcPr>
            <w:tcW w:w="3071" w:type="dxa"/>
            <w:shd w:val="clear" w:color="auto" w:fill="F2F2F2"/>
          </w:tcPr>
          <w:p w14:paraId="4D2A8B52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Termin, do którego nastąpi przeniesienie prawa własności nieruchomości wynikającego z umowy deweloperskiej lub jednej z umów, o których mowa w art. 2 ust. 1 pkt 2, 3 lub 5 lub ust. 2 ustawy z dnia … o ochronie praw nabywcy lokalu mieszkalnego lub domu jednorodzinnego oraz o Deweloperskim Funduszu Gwarancyjnym </w:t>
            </w:r>
          </w:p>
        </w:tc>
        <w:tc>
          <w:tcPr>
            <w:tcW w:w="5973" w:type="dxa"/>
            <w:gridSpan w:val="2"/>
          </w:tcPr>
          <w:p w14:paraId="742F9D88" w14:textId="3C38995B" w:rsidR="00F714CF" w:rsidRDefault="0099057D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…………………</w:t>
            </w:r>
          </w:p>
        </w:tc>
      </w:tr>
      <w:tr w:rsidR="00F714CF" w14:paraId="4F2ACAA7" w14:textId="77777777">
        <w:tc>
          <w:tcPr>
            <w:tcW w:w="3071" w:type="dxa"/>
            <w:tcBorders>
              <w:bottom w:val="nil"/>
            </w:tcBorders>
            <w:shd w:val="clear" w:color="auto" w:fill="F2F2F2"/>
          </w:tcPr>
          <w:p w14:paraId="6AB6F9DE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Określenie położenia oraz istotnych cech domu jednorodzinnego albo budynku, w którym ma znajdować się lokal mieszkalny będący przedmiotem umowy rezerwacyjnej albo umowy deweloperskiej, albo umowy, o której mowa w art. 2 ust. 1 pkt 2, 3 lub 5 lub umów, o których mowa w art. 2 ust. 2 ustawy z dnia … o ochronie praw nabywcy lokalu mieszkalnego lub domu jednorodzinnego oraz o Deweloperskim Funduszu Gwarancyjnym</w:t>
            </w:r>
          </w:p>
        </w:tc>
        <w:tc>
          <w:tcPr>
            <w:tcW w:w="3068" w:type="dxa"/>
            <w:vMerge w:val="restart"/>
          </w:tcPr>
          <w:p w14:paraId="089CA2B4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Liczba kondygnacji</w:t>
            </w:r>
          </w:p>
        </w:tc>
        <w:tc>
          <w:tcPr>
            <w:tcW w:w="2905" w:type="dxa"/>
            <w:vMerge w:val="restart"/>
          </w:tcPr>
          <w:p w14:paraId="7C1A79D3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Budynek B1 - 5 kondygnacji nadziemnych, całkowite podpiwniczenie.</w:t>
            </w:r>
          </w:p>
          <w:p w14:paraId="1EC09AD3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Budynek B2 - 5 kondygnacji nadziemnych, częściowe podpiwniczenie.</w:t>
            </w:r>
          </w:p>
          <w:p w14:paraId="5E005E34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Budynek B3 - 5 kondygnacji nadziemnych, częściowe podpiwniczenie.</w:t>
            </w:r>
          </w:p>
        </w:tc>
      </w:tr>
      <w:tr w:rsidR="00F714CF" w14:paraId="30143700" w14:textId="77777777">
        <w:trPr>
          <w:trHeight w:val="56"/>
        </w:trPr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37AD59BC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  <w:vMerge/>
          </w:tcPr>
          <w:p w14:paraId="10585ED0" w14:textId="77777777" w:rsidR="00F714CF" w:rsidRDefault="00F714CF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5" w:type="dxa"/>
            <w:vMerge/>
          </w:tcPr>
          <w:p w14:paraId="2939F90D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</w:tr>
      <w:tr w:rsidR="00F714CF" w14:paraId="31356D30" w14:textId="77777777">
        <w:tc>
          <w:tcPr>
            <w:tcW w:w="3071" w:type="dxa"/>
            <w:tcBorders>
              <w:top w:val="nil"/>
            </w:tcBorders>
            <w:shd w:val="clear" w:color="auto" w:fill="F2F2F2"/>
          </w:tcPr>
          <w:p w14:paraId="128EB539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</w:tcPr>
          <w:p w14:paraId="07CB045B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Technologia wykonania </w:t>
            </w:r>
          </w:p>
        </w:tc>
        <w:tc>
          <w:tcPr>
            <w:tcW w:w="2905" w:type="dxa"/>
          </w:tcPr>
          <w:p w14:paraId="1272D6D3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Technologia tradycyjna, murowana, z dachem płaskim:</w:t>
            </w:r>
          </w:p>
          <w:p w14:paraId="5AA8263B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Fundamenty – ławy fundamentowe zbrojone podłużnie i poprzecznie na warstwie z podkładu betonowego; ławy schodkowe niwelujące różnicę poziomów pomiędzy częścią podpiwniczoną a niepodpiwniczoną;</w:t>
            </w:r>
          </w:p>
          <w:p w14:paraId="7FCF8D81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Ściany zewnętrzne piwnic – żelbetowe, murowane z bloczków betonowych</w:t>
            </w:r>
          </w:p>
          <w:p w14:paraId="58749987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Ściany zewnętrzne kondygnacji naziemnych - bloczki silikatowe wraz z trzpieniami usztywniającymi</w:t>
            </w:r>
          </w:p>
          <w:p w14:paraId="0C32C010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Stropy i balkony:</w:t>
            </w:r>
          </w:p>
          <w:p w14:paraId="11FEEE7F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- stropy: prefabrykowane żelbetowe płyty kanałowe typu „Żerań” oraz stropy typu filigran;</w:t>
            </w:r>
          </w:p>
          <w:p w14:paraId="7C1038F4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balkony: żelbetowe płytowe wspornikowe prefabrykowane;</w:t>
            </w:r>
          </w:p>
          <w:p w14:paraId="1565D909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Schody – płytowe prefabrykowane składające się z płyt spocznikowych</w:t>
            </w:r>
          </w:p>
          <w:p w14:paraId="7F43F36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oraz płyt biegowych;</w:t>
            </w:r>
          </w:p>
          <w:p w14:paraId="6CDE8F89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Dach – stropodach o konstrukcji  żelbetowej monolitycznej (w tym płyty typu filigran), pokrycie dachowe – papa termozgrzewalna lub membrana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hydroizolacyjna</w:t>
            </w:r>
            <w:proofErr w:type="spellEnd"/>
          </w:p>
        </w:tc>
      </w:tr>
      <w:tr w:rsidR="00F714CF" w14:paraId="3656AE70" w14:textId="77777777">
        <w:tc>
          <w:tcPr>
            <w:tcW w:w="3071" w:type="dxa"/>
            <w:tcBorders>
              <w:bottom w:val="nil"/>
            </w:tcBorders>
            <w:shd w:val="clear" w:color="auto" w:fill="F2F2F2"/>
          </w:tcPr>
          <w:p w14:paraId="69AA8BFF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</w:tcPr>
          <w:p w14:paraId="4EC9B35E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2905" w:type="dxa"/>
          </w:tcPr>
          <w:p w14:paraId="2AF2EF0C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Fundamenty – ławy fundamentowe;</w:t>
            </w:r>
          </w:p>
          <w:p w14:paraId="44C9674A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Ściany:</w:t>
            </w:r>
          </w:p>
          <w:p w14:paraId="7D8C6A1B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zewnętrzne dwuwarstwowe - murowane z bloczków silikatowych z elementami żelbetowymi, ocieplone styropianem lub wełną,</w:t>
            </w:r>
          </w:p>
          <w:p w14:paraId="0ECF810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wewnętrzne – murowane z bloczków silikatowych </w:t>
            </w:r>
          </w:p>
          <w:p w14:paraId="49969149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wewnętrzne działowe - murowane z bloczków silikatowych lub betonu komórkowego</w:t>
            </w:r>
          </w:p>
          <w:p w14:paraId="305074E3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Stropy – prefabrykowane żelbetowe płyty kanałowe typu „Żerań” oraz stropy typu filigran;</w:t>
            </w:r>
          </w:p>
          <w:p w14:paraId="19A0FA5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Dach - Stropodach - płaski, niewentylowany, izolacja termiczna ze styropianu, pokrycie z papy lub membrany;</w:t>
            </w:r>
          </w:p>
          <w:p w14:paraId="4FB189B7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Nadproża - żelbetowe - monolityczne oraz z belek prefabrykowanych; </w:t>
            </w:r>
          </w:p>
          <w:p w14:paraId="68FD19B4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Balkony i tarasy:</w:t>
            </w:r>
          </w:p>
          <w:p w14:paraId="50D001A1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płyty balkonowe - balkony: żelbetowe płytowe wspornikowe prefabrykowane;</w:t>
            </w:r>
          </w:p>
          <w:p w14:paraId="56DB6543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posadzka balkonów – posadzka do indywidualnego wykończenia np. płytkami mrozoodpornymi lub deską kompozytową, </w:t>
            </w:r>
          </w:p>
          <w:p w14:paraId="39C8AB22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Klatki schodowe – murowane, prefabrykowane biegi schodowe,</w:t>
            </w:r>
          </w:p>
          <w:p w14:paraId="625A117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Budynki wyposażone w windy o napędzie elektrycznym.</w:t>
            </w:r>
          </w:p>
          <w:p w14:paraId="345DD5F5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Tynki zewnętrzne:</w:t>
            </w:r>
          </w:p>
          <w:p w14:paraId="0EE5E0EA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tynk silikonowy malowany lub tynk mineralny barwiony w masie,</w:t>
            </w:r>
          </w:p>
          <w:p w14:paraId="23F21A5F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Tynki wewnętrzne cz. wspólnych - klatki schodowe, wiatrołapy, hole – gipsowe lub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wap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. maszynowe,</w:t>
            </w:r>
          </w:p>
          <w:p w14:paraId="19EA6C2E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Posadzki:</w:t>
            </w:r>
          </w:p>
          <w:p w14:paraId="5144E6FE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piwnice – betonowe,</w:t>
            </w:r>
          </w:p>
          <w:p w14:paraId="5B5E86A6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klatki schodowe - stopnie i spoczniki – schody płytowe prefabrykowane składające się z płyt spocznikowych i płyt biegowych - okładzina z płytek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gresowych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14:paraId="5460691E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Obróbki blacharskie dachu - blacha cynkowana lub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tytanowo-cynkowa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lub stalowa powlekana;</w:t>
            </w:r>
          </w:p>
          <w:p w14:paraId="11AD836F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Barierki zewnętrzne balkonów – stalowe, malowane</w:t>
            </w:r>
          </w:p>
          <w:p w14:paraId="48980381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Parapety: zewnętrzne z blachy stalowej, wewnętrzne – do indywidualnego wykończenia,</w:t>
            </w:r>
          </w:p>
          <w:p w14:paraId="0ACB3EF6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Stolarka okienna:</w:t>
            </w:r>
          </w:p>
          <w:p w14:paraId="323B27B4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PVC,</w:t>
            </w:r>
          </w:p>
          <w:p w14:paraId="226EF10B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Stolarka drzwiowa: </w:t>
            </w:r>
          </w:p>
          <w:p w14:paraId="152205DF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drzwi zewnętrzne – aluminiowe lub PVC, szyby bezpieczne,</w:t>
            </w:r>
          </w:p>
          <w:p w14:paraId="5547EB71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drzwi wejściowe do mieszkań – typowe, okleinowane,</w:t>
            </w:r>
          </w:p>
          <w:p w14:paraId="43202711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drzwi wewnętrzne – do indywidualnego wykończenia (montażu);</w:t>
            </w:r>
          </w:p>
          <w:p w14:paraId="438788EC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Balustrady, ogrodzenia, przegrody balkonowe: </w:t>
            </w:r>
          </w:p>
          <w:p w14:paraId="419CA618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barierki wewnętrzne schodów klatek schodowych – stalowe, malowane proszkowo, </w:t>
            </w:r>
          </w:p>
          <w:p w14:paraId="319CB0D3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zewnętrzne balkonowe – stalowe, malowane proszkowo lub z wypełnieniem szybą wzmocnioną klejoną lub balkony zabudowane w systemie szklanych ścianek przesuwnych;</w:t>
            </w:r>
          </w:p>
          <w:p w14:paraId="63385AC7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Malowanie:</w:t>
            </w:r>
          </w:p>
          <w:p w14:paraId="03FF731E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korytarze, wspólne hole i klatki schodowe farbami przeznaczenia wewnętrznego, </w:t>
            </w:r>
          </w:p>
          <w:p w14:paraId="79EFEBCF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pomieszczenia techniczne – malowane;</w:t>
            </w:r>
          </w:p>
          <w:p w14:paraId="043660F5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Instalacja wod.-kan.:</w:t>
            </w:r>
          </w:p>
          <w:p w14:paraId="35325B1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liczniki wody zimnej i ciepłej – wodomierze zamontowane w szachcie na klatce schodowej,</w:t>
            </w:r>
          </w:p>
          <w:p w14:paraId="67DE45A5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kanalizacja z rur PVC,</w:t>
            </w:r>
          </w:p>
          <w:p w14:paraId="5522AA2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prowadzone na kondygnacji podziemnej (podwieszana), piony w szachtach instalacyjnych na klatkach, </w:t>
            </w:r>
          </w:p>
          <w:p w14:paraId="2DE75505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Instalacja c.o.:</w:t>
            </w:r>
          </w:p>
          <w:p w14:paraId="1EB55E09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prowadzona pod stropem na kondygnacji podziemnej, piony w szachtach instalacyjnych na korytarzach;</w:t>
            </w:r>
          </w:p>
          <w:p w14:paraId="2EE5421B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liczniki c.o. w szachtach; </w:t>
            </w:r>
          </w:p>
          <w:p w14:paraId="2C25E08C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Instalacja elektryczna w częściach wspólnych:</w:t>
            </w:r>
          </w:p>
          <w:p w14:paraId="4424336D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wykonane oświetlenie klatek schodowych.</w:t>
            </w:r>
          </w:p>
          <w:p w14:paraId="3BD5AAE6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Instalacje inne:</w:t>
            </w:r>
          </w:p>
          <w:p w14:paraId="0F0A0C47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wentylacja mieszkań – wywiewna mechaniczna niskociśnieniowa, system współpracujących elementów nawiewnych i wywiewnych,</w:t>
            </w:r>
          </w:p>
          <w:p w14:paraId="0F85C7A7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wentylacja piwnic – grawitacyjna; </w:t>
            </w:r>
          </w:p>
          <w:p w14:paraId="1A490C90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Zieleń - ukształtowanie terenu, zieleń, mała architektura zgodnie z projektem; </w:t>
            </w:r>
          </w:p>
          <w:p w14:paraId="7F73C14E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Śmietnik – na parkingu naziemnym zgodnie z standardami składowania odpadów; </w:t>
            </w:r>
          </w:p>
          <w:p w14:paraId="16CBDB1A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Drogi i parkingi - zgodnie z projektem.</w:t>
            </w:r>
          </w:p>
          <w:p w14:paraId="25A14166" w14:textId="77777777" w:rsidR="00F714CF" w:rsidRDefault="00000000">
            <w:pPr>
              <w:spacing w:before="144" w:after="144" w:line="240" w:lineRule="auto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Ogródki: schody prefabrykowane, wygrodzenie – panele stalowe wysokość minimum 1,1 m, podłoże grunt zasypowy.</w:t>
            </w:r>
          </w:p>
        </w:tc>
      </w:tr>
      <w:tr w:rsidR="00F714CF" w14:paraId="1E4BF19F" w14:textId="77777777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366EC3FF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</w:tcPr>
          <w:p w14:paraId="5261E826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Liczba lokali w budynku</w:t>
            </w:r>
          </w:p>
        </w:tc>
        <w:tc>
          <w:tcPr>
            <w:tcW w:w="2905" w:type="dxa"/>
          </w:tcPr>
          <w:p w14:paraId="1113E3D5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Budynek B1: 86 mieszkań</w:t>
            </w:r>
          </w:p>
          <w:p w14:paraId="431816AE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Budynek B2: 64 mieszkań</w:t>
            </w:r>
          </w:p>
          <w:p w14:paraId="0E2AE2D0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Budynek B3: 68 mieszkania</w:t>
            </w:r>
          </w:p>
        </w:tc>
      </w:tr>
      <w:tr w:rsidR="00F714CF" w14:paraId="739A5C54" w14:textId="77777777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6281331B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</w:tcPr>
          <w:p w14:paraId="1192848E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Liczba miejsc garażowych i postojowych</w:t>
            </w:r>
          </w:p>
        </w:tc>
        <w:tc>
          <w:tcPr>
            <w:tcW w:w="2905" w:type="dxa"/>
          </w:tcPr>
          <w:p w14:paraId="3CF3E4B9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 terenie inwestycji zlokalizowanych będzie 188 stanowisk postojowych naziemnych, w tym 15 stanowisk postojowych dla osób niepełnosprawnych.</w:t>
            </w:r>
          </w:p>
        </w:tc>
      </w:tr>
      <w:tr w:rsidR="00F714CF" w14:paraId="62C65F9E" w14:textId="77777777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03D4FB87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</w:tcPr>
          <w:p w14:paraId="1CC22B02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Dostępne media w budynku</w:t>
            </w:r>
          </w:p>
        </w:tc>
        <w:tc>
          <w:tcPr>
            <w:tcW w:w="2905" w:type="dxa"/>
          </w:tcPr>
          <w:p w14:paraId="5FF8B1B5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Instalacja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– kanalizacyjna z sieci PWiK, instalacja c.o.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c.w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zasilana z miejskiej sieci ciepłowniczej, instalacja elektryczna z sieci ENEA, instalacja telewizyjna, internetowa, domofonowa, telekomunikacyjna.</w:t>
            </w:r>
          </w:p>
        </w:tc>
      </w:tr>
      <w:tr w:rsidR="00F714CF" w14:paraId="3D115390" w14:textId="77777777">
        <w:tc>
          <w:tcPr>
            <w:tcW w:w="3071" w:type="dxa"/>
            <w:tcBorders>
              <w:top w:val="nil"/>
            </w:tcBorders>
            <w:shd w:val="clear" w:color="auto" w:fill="F2F2F2"/>
          </w:tcPr>
          <w:p w14:paraId="6F4F1BB1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  <w:tc>
          <w:tcPr>
            <w:tcW w:w="3068" w:type="dxa"/>
          </w:tcPr>
          <w:p w14:paraId="48E659B3" w14:textId="77777777" w:rsidR="00F714CF" w:rsidRDefault="00000000">
            <w:pPr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Dostęp do drogi publicznej</w:t>
            </w:r>
          </w:p>
        </w:tc>
        <w:tc>
          <w:tcPr>
            <w:tcW w:w="2905" w:type="dxa"/>
          </w:tcPr>
          <w:p w14:paraId="480C005E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Nieruchomość ma zapewniony dostęp do dróg publicznych:</w:t>
            </w:r>
          </w:p>
          <w:p w14:paraId="0F76F5E9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od strony wschodniej – teren ulicy lokalnej (Węgierska) - oznaczonej w miejscowym planie zagospodarowania przestrzennego jako 2KL,</w:t>
            </w:r>
          </w:p>
          <w:p w14:paraId="61C4A45D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od strony południowej – teren ulicy lokalnej (Litewska) – oznaczonej w miejscowym planie zagospodarowania przestrzennego jako 1KL,</w:t>
            </w:r>
          </w:p>
          <w:p w14:paraId="4FE270E1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od strony zachodniej – teren ulicy lokalnej (Węgierska) – oznaczonej w miejscowym planie zagospodarowania przestrzennego jako 2KL.</w:t>
            </w:r>
          </w:p>
        </w:tc>
      </w:tr>
      <w:tr w:rsidR="00F714CF" w14:paraId="17465428" w14:textId="77777777">
        <w:tc>
          <w:tcPr>
            <w:tcW w:w="3071" w:type="dxa"/>
            <w:shd w:val="clear" w:color="auto" w:fill="F2F2F2"/>
          </w:tcPr>
          <w:p w14:paraId="5CBF7D66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Określenie usytuowania lokalu mieszkalnego w budynku, jeżeli przedsięwzięcie deweloperskie albo zadanie inwestycyjne dotyczy lokali mieszkalnych</w:t>
            </w:r>
          </w:p>
        </w:tc>
        <w:tc>
          <w:tcPr>
            <w:tcW w:w="5973" w:type="dxa"/>
            <w:gridSpan w:val="2"/>
          </w:tcPr>
          <w:p w14:paraId="393A93D6" w14:textId="477F5B44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Lokal mieszkalny nr </w:t>
            </w:r>
            <w:r w:rsidR="00117181">
              <w:rPr>
                <w:rFonts w:ascii="Times New Roman" w:eastAsia="Times New Roman" w:hAnsi="Times New Roman" w:cs="Times New Roman"/>
                <w:b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</w:rPr>
              <w:t>znajdować się będzie w budynku wielorodzinnym</w:t>
            </w:r>
            <w:r w:rsidR="00117181">
              <w:rPr>
                <w:rFonts w:ascii="Times New Roman" w:eastAsia="Times New Roman" w:hAnsi="Times New Roman" w:cs="Times New Roman"/>
                <w:b/>
              </w:rPr>
              <w:t>…..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przy ul. Węgierskiej, na parterze, w klatce schodowej nr </w:t>
            </w:r>
            <w:r w:rsidR="00117181">
              <w:rPr>
                <w:rFonts w:ascii="Times New Roman" w:eastAsia="Times New Roman" w:hAnsi="Times New Roman" w:cs="Times New Roman"/>
                <w:b/>
              </w:rPr>
              <w:t>….</w:t>
            </w:r>
          </w:p>
        </w:tc>
      </w:tr>
      <w:tr w:rsidR="00F714CF" w14:paraId="3D1056F1" w14:textId="77777777">
        <w:tc>
          <w:tcPr>
            <w:tcW w:w="3071" w:type="dxa"/>
            <w:shd w:val="clear" w:color="auto" w:fill="F2F2F2"/>
          </w:tcPr>
          <w:p w14:paraId="00174D17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Określenie powierzchni użytkowej i układu pomieszczeń oraz zakresu i standardu prac wykończeniowych, do których wykonania zobowiązuje się deweloper</w:t>
            </w:r>
          </w:p>
        </w:tc>
        <w:tc>
          <w:tcPr>
            <w:tcW w:w="5973" w:type="dxa"/>
            <w:gridSpan w:val="2"/>
          </w:tcPr>
          <w:p w14:paraId="18F51492" w14:textId="1061B793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Lokal mieszkalny nr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 powierzchni użytkowej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………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m2, składający się z:</w:t>
            </w:r>
          </w:p>
          <w:p w14:paraId="0D22D4C6" w14:textId="5E593E00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pokoju dziennego z aneksem kuchennym o pow.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………..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m2,</w:t>
            </w:r>
          </w:p>
          <w:p w14:paraId="0C4965C0" w14:textId="7796346D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sypialni o pow.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……..</w:t>
            </w:r>
            <w:r>
              <w:rPr>
                <w:rFonts w:ascii="Times New Roman" w:eastAsia="Times New Roman" w:hAnsi="Times New Roman" w:cs="Times New Roman"/>
                <w:b/>
              </w:rPr>
              <w:t>m2,</w:t>
            </w:r>
          </w:p>
          <w:p w14:paraId="76D13269" w14:textId="64285FD0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przedpokoju o pow.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………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m2,</w:t>
            </w:r>
          </w:p>
          <w:p w14:paraId="5287CE9D" w14:textId="5A0EF97E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łazienki o pow.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m2,</w:t>
            </w:r>
          </w:p>
          <w:p w14:paraId="3F0E3706" w14:textId="05B7EDDF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 lokalu przylega balkon oraz ogródek o pow. </w:t>
            </w:r>
            <w:r w:rsidR="0099057D">
              <w:rPr>
                <w:rFonts w:ascii="Times New Roman" w:eastAsia="Times New Roman" w:hAnsi="Times New Roman" w:cs="Times New Roman"/>
                <w:b/>
              </w:rPr>
              <w:t>………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m2</w:t>
            </w:r>
          </w:p>
          <w:p w14:paraId="1F61C0CA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  <w:p w14:paraId="042DD689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WYKOŃCZENIA LOKALU MIESZKALNEGO:</w:t>
            </w:r>
          </w:p>
          <w:p w14:paraId="6D8BEE61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Posadzki                                                                 </w:t>
            </w:r>
          </w:p>
          <w:p w14:paraId="2C44EA50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 warstwa wyrównawcza, ułożona na styropianie – do indywidualnego wykończenia,</w:t>
            </w:r>
          </w:p>
          <w:p w14:paraId="6ADDC844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Ścianki działowe                                                    </w:t>
            </w:r>
          </w:p>
          <w:p w14:paraId="5958C44D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z bloczków silikatowych lub z betonu komórkowego,  (w Budynku B1 również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w technologii suchej zabudowy z płyt k-g)</w:t>
            </w:r>
          </w:p>
          <w:p w14:paraId="3D6F9185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Powierzchnia ścian                                                 </w:t>
            </w:r>
          </w:p>
          <w:p w14:paraId="7C2E6318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tynk gipsowy kładziony maszynowo (łazienka – ściany niewykończone),</w:t>
            </w:r>
          </w:p>
          <w:p w14:paraId="1A9C9060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Powierzchnia sufitu                                                </w:t>
            </w:r>
          </w:p>
          <w:p w14:paraId="035B61B6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tynk gipsowy kładziony maszynowo (dla płyt kanałowych) lub wyrównany i przygotowany pod szpachlowanie (dla sufitów typu filigran),</w:t>
            </w:r>
          </w:p>
          <w:p w14:paraId="63C02462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Okna</w:t>
            </w:r>
          </w:p>
          <w:p w14:paraId="5D40B651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PVC z nawiewnikami, bez parapetów wewnętrznych,</w:t>
            </w:r>
          </w:p>
          <w:p w14:paraId="169F1ECA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Drzwi wejściowe</w:t>
            </w:r>
          </w:p>
          <w:p w14:paraId="716CEB4B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typowe, okleinowane</w:t>
            </w:r>
          </w:p>
          <w:p w14:paraId="7A8B9A1F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Instalacja elektryczna                                           </w:t>
            </w:r>
          </w:p>
          <w:p w14:paraId="58A49D75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rozprowadzona po lokalu, z montażem włączników, gniazdek elektrycznych,</w:t>
            </w:r>
          </w:p>
          <w:p w14:paraId="3E3977A2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Instalacja ciepłej i zimnej wody </w:t>
            </w:r>
          </w:p>
          <w:p w14:paraId="3DAF4B6E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doprowadzona do kuchni, łazienki, do dalszego rozprowadzenia przez Nabywców,</w:t>
            </w:r>
          </w:p>
          <w:p w14:paraId="08EDA30A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Instalacja kanalizacyjna                                         </w:t>
            </w:r>
          </w:p>
          <w:p w14:paraId="1F947593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pion z trójnikiem przygotowany do dalszego indywidualnego rozprowadzenia przez Nabywców,</w:t>
            </w:r>
          </w:p>
          <w:p w14:paraId="1D6F520F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Instalacja wentylacji:                                                          </w:t>
            </w:r>
          </w:p>
          <w:p w14:paraId="52ABD221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wentylacja wywiewna mechaniczna zakończona wentylatorem na dachu,</w:t>
            </w:r>
          </w:p>
          <w:p w14:paraId="24A91D2C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Instalacja c.o.                                                          </w:t>
            </w:r>
          </w:p>
          <w:p w14:paraId="06D0EB04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rozprowadzona po lokalu (pod posadzką), zakończona grzejnikami stalowymi panelowymi z zaworami termoregulacyjnymi; w łazience grzejnik drabinkowy,</w:t>
            </w:r>
          </w:p>
          <w:p w14:paraId="17D4BD9D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Drzwi wewnętrzne</w:t>
            </w:r>
          </w:p>
          <w:p w14:paraId="577AFC9C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otwory drzwiowe bez skrzydeł drzwiowych i ościeżnic</w:t>
            </w:r>
          </w:p>
          <w:p w14:paraId="2439DEF1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Balkony</w:t>
            </w:r>
          </w:p>
          <w:p w14:paraId="5B2A771A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balustrady zewnętrzne stalowe malowane lub barierki z wypełnieniem szybą wzmocnioną klejoną, posadzka do indywidualnego wykończenia</w:t>
            </w:r>
          </w:p>
          <w:p w14:paraId="0727F917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Inne</w:t>
            </w:r>
          </w:p>
          <w:p w14:paraId="238B9643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słuchawka domofonowa, wodomierz ciepłej wody, wodomierz zimnej wody, licznik ciepła w szachtach na klatkach schodowych.</w:t>
            </w:r>
          </w:p>
        </w:tc>
      </w:tr>
      <w:tr w:rsidR="00F714CF" w14:paraId="79661815" w14:textId="77777777">
        <w:trPr>
          <w:trHeight w:val="1035"/>
        </w:trPr>
        <w:tc>
          <w:tcPr>
            <w:tcW w:w="3071" w:type="dxa"/>
            <w:shd w:val="clear" w:color="auto" w:fill="F2F2F2"/>
          </w:tcPr>
          <w:p w14:paraId="36E423C8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Data wydania zaświadczenia o samodzielności lokalu mieszkalnego</w:t>
            </w:r>
          </w:p>
        </w:tc>
        <w:tc>
          <w:tcPr>
            <w:tcW w:w="5973" w:type="dxa"/>
            <w:gridSpan w:val="2"/>
          </w:tcPr>
          <w:p w14:paraId="693D8D64" w14:textId="77777777" w:rsidR="00F714CF" w:rsidRDefault="00F714CF">
            <w:pPr>
              <w:spacing w:before="144" w:after="144" w:line="240" w:lineRule="auto"/>
              <w:rPr>
                <w:b/>
              </w:rPr>
            </w:pPr>
          </w:p>
        </w:tc>
      </w:tr>
      <w:tr w:rsidR="00F714CF" w14:paraId="7DF24770" w14:textId="77777777">
        <w:trPr>
          <w:trHeight w:val="1050"/>
        </w:trPr>
        <w:tc>
          <w:tcPr>
            <w:tcW w:w="3071" w:type="dxa"/>
            <w:shd w:val="clear" w:color="auto" w:fill="F2F2F2"/>
          </w:tcPr>
          <w:p w14:paraId="5CB6C6E7" w14:textId="77777777" w:rsidR="00F714CF" w:rsidRDefault="00000000">
            <w:pPr>
              <w:widowControl w:val="0"/>
              <w:spacing w:before="144" w:after="14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ustanowienia odrębnej własności lokalu mieszkalnego</w:t>
            </w:r>
          </w:p>
        </w:tc>
        <w:tc>
          <w:tcPr>
            <w:tcW w:w="5973" w:type="dxa"/>
            <w:gridSpan w:val="2"/>
          </w:tcPr>
          <w:p w14:paraId="6AF96DB2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</w:t>
            </w:r>
          </w:p>
        </w:tc>
      </w:tr>
      <w:tr w:rsidR="00F714CF" w14:paraId="55BD7D10" w14:textId="77777777">
        <w:tc>
          <w:tcPr>
            <w:tcW w:w="3071" w:type="dxa"/>
            <w:shd w:val="clear" w:color="auto" w:fill="F2F2F2"/>
          </w:tcPr>
          <w:p w14:paraId="52AB849B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Informacje o lokalu użytkowym nabywanym równocześnie z lokalem mieszkalnym albo domem jednorodzinnym</w:t>
            </w:r>
          </w:p>
        </w:tc>
        <w:tc>
          <w:tcPr>
            <w:tcW w:w="5973" w:type="dxa"/>
            <w:gridSpan w:val="2"/>
          </w:tcPr>
          <w:p w14:paraId="190AFDF6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</w:t>
            </w:r>
          </w:p>
        </w:tc>
      </w:tr>
      <w:tr w:rsidR="00F714CF" w14:paraId="24EAD58A" w14:textId="77777777">
        <w:tc>
          <w:tcPr>
            <w:tcW w:w="3071" w:type="dxa"/>
            <w:shd w:val="clear" w:color="auto" w:fill="F2F2F2"/>
          </w:tcPr>
          <w:p w14:paraId="6173BF94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Cenę lokalu użytkowego albo ułamkowej części własności lokalu użytkowego </w:t>
            </w:r>
          </w:p>
        </w:tc>
        <w:tc>
          <w:tcPr>
            <w:tcW w:w="5973" w:type="dxa"/>
            <w:gridSpan w:val="2"/>
          </w:tcPr>
          <w:p w14:paraId="308978C4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</w:t>
            </w:r>
          </w:p>
        </w:tc>
      </w:tr>
      <w:tr w:rsidR="00F714CF" w14:paraId="1807B4FC" w14:textId="77777777">
        <w:tc>
          <w:tcPr>
            <w:tcW w:w="3071" w:type="dxa"/>
            <w:shd w:val="clear" w:color="auto" w:fill="F2F2F2"/>
          </w:tcPr>
          <w:p w14:paraId="600EDCE8" w14:textId="77777777" w:rsidR="00F714CF" w:rsidRDefault="0000000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Termin, do którego nastąpi przeniesienie prawa własności lokalu użytkowego albo ułamkowej części własności lokalu użytkowego</w:t>
            </w:r>
          </w:p>
        </w:tc>
        <w:tc>
          <w:tcPr>
            <w:tcW w:w="5973" w:type="dxa"/>
            <w:gridSpan w:val="2"/>
          </w:tcPr>
          <w:p w14:paraId="353D9EF4" w14:textId="77777777" w:rsidR="00F714CF" w:rsidRDefault="00000000">
            <w:pPr>
              <w:spacing w:before="144" w:after="144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</w:t>
            </w:r>
          </w:p>
        </w:tc>
      </w:tr>
    </w:tbl>
    <w:p w14:paraId="7AB6DFD1" w14:textId="77777777" w:rsidR="00F714CF" w:rsidRDefault="00F714CF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B53E93" w14:textId="77777777" w:rsidR="00F714CF" w:rsidRDefault="00000000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Podpis osoby upoważnionej do reprezentacji dewelopera</w:t>
      </w:r>
    </w:p>
    <w:p w14:paraId="482E6BBD" w14:textId="77777777" w:rsidR="00F714CF" w:rsidRDefault="00F714CF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E7FF70" w14:textId="77777777" w:rsidR="00F714CF" w:rsidRDefault="00000000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…...………………………………….</w:t>
      </w:r>
    </w:p>
    <w:p w14:paraId="5A3F33FE" w14:textId="77777777" w:rsidR="00F714CF" w:rsidRDefault="00F714CF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BA7BFA" w14:textId="77777777" w:rsidR="00F714CF" w:rsidRDefault="00F714CF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330475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16510" distB="21590" distL="17145" distR="20955" simplePos="0" relativeHeight="2" behindDoc="0" locked="0" layoutInCell="0" allowOverlap="1" wp14:anchorId="3A6F8859" wp14:editId="63CE98C5">
                <wp:simplePos x="0" y="0"/>
                <wp:positionH relativeFrom="column">
                  <wp:posOffset>-800100</wp:posOffset>
                </wp:positionH>
                <wp:positionV relativeFrom="paragraph">
                  <wp:posOffset>10160</wp:posOffset>
                </wp:positionV>
                <wp:extent cx="7543800" cy="0"/>
                <wp:effectExtent l="14605" t="14605" r="14605" b="14605"/>
                <wp:wrapNone/>
                <wp:docPr id="1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3pt,0.8pt" to="530.95pt,0.8pt" ID="Line 20" stroked="t" o:allowincell="f" style="position:absolute" wp14:anchorId="2CE03E29">
                <v:stroke color="black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263EBFCB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Załączniki:</w:t>
      </w:r>
    </w:p>
    <w:p w14:paraId="50508691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Rzut kondygnacji z zaznaczeniem lokalu mieszkalnego.</w:t>
      </w:r>
    </w:p>
    <w:p w14:paraId="3C474EE1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Wzór umowy deweloperskiej lub umowy, o której mowa w art. 2 ust. 1 pkt 2, 3 lub 5 ustawy z dnia … o ochronie praw nabywcy lokalu mieszkalnego lub domu jednorodzinnego oraz o Deweloperskim Funduszu Gwarancyjnym.</w:t>
      </w:r>
    </w:p>
    <w:p w14:paraId="16A9DE4A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Szkic koncepcji zagospodarowania terenu inwestycji i jego otoczenia z zaznaczeniem budynku oraz istotnych uwarunkowań lokalizacji inwestycji wynikających z przepisów odrębnych oraz z istniejącego i planowanego stanu użytkowania terenów sąsiednich (np. z funkcji terenu, stref ochronnych, uciążliwości). </w:t>
      </w:r>
    </w:p>
    <w:p w14:paraId="0DC17A7A" w14:textId="77777777" w:rsidR="00F714CF" w:rsidRDefault="00000000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19050" distB="19050" distL="17145" distR="20955" simplePos="0" relativeHeight="3" behindDoc="0" locked="0" layoutInCell="0" allowOverlap="1" wp14:anchorId="07C7A0A0" wp14:editId="1069D28D">
                <wp:simplePos x="0" y="0"/>
                <wp:positionH relativeFrom="column">
                  <wp:posOffset>-800100</wp:posOffset>
                </wp:positionH>
                <wp:positionV relativeFrom="paragraph">
                  <wp:posOffset>84455</wp:posOffset>
                </wp:positionV>
                <wp:extent cx="7543800" cy="635"/>
                <wp:effectExtent l="14605" t="14605" r="14605" b="14605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7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3pt,6.65pt" to="530.95pt,6.65pt" ID="Line 19" stroked="t" o:allowincell="f" style="position:absolute" wp14:anchorId="4E4525C9">
                <v:stroke color="black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528459A2" w14:textId="77777777" w:rsidR="00F714CF" w:rsidRDefault="00F714CF"/>
    <w:sectPr w:rsidR="00F714CF">
      <w:footerReference w:type="default" r:id="rId9"/>
      <w:footerReference w:type="first" r:id="rId10"/>
      <w:footnotePr>
        <w:numRestart w:val="eachPage"/>
      </w:footnotePr>
      <w:pgSz w:w="11906" w:h="16838"/>
      <w:pgMar w:top="1417" w:right="1417" w:bottom="1417" w:left="1417" w:header="0" w:footer="709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1310" w14:textId="77777777" w:rsidR="00E447B1" w:rsidRDefault="00E447B1">
      <w:pPr>
        <w:spacing w:after="0" w:line="240" w:lineRule="auto"/>
      </w:pPr>
      <w:r>
        <w:separator/>
      </w:r>
    </w:p>
  </w:endnote>
  <w:endnote w:type="continuationSeparator" w:id="0">
    <w:p w14:paraId="16D8395F" w14:textId="77777777" w:rsidR="00E447B1" w:rsidRDefault="00E4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424094"/>
      <w:docPartObj>
        <w:docPartGallery w:val="Page Numbers (Bottom of Page)"/>
        <w:docPartUnique/>
      </w:docPartObj>
    </w:sdtPr>
    <w:sdtContent>
      <w:p w14:paraId="4C97FB97" w14:textId="77777777" w:rsidR="00F714CF" w:rsidRDefault="00000000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25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60CE" w14:textId="77777777" w:rsidR="00F714CF" w:rsidRDefault="00F714CF">
    <w:pPr>
      <w:pStyle w:val="Stopka"/>
      <w:jc w:val="center"/>
    </w:pPr>
  </w:p>
  <w:p w14:paraId="7A93A483" w14:textId="77777777" w:rsidR="00F714CF" w:rsidRDefault="00F71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0F12" w14:textId="77777777" w:rsidR="00E447B1" w:rsidRDefault="00E447B1">
      <w:pPr>
        <w:rPr>
          <w:sz w:val="12"/>
        </w:rPr>
      </w:pPr>
      <w:r>
        <w:separator/>
      </w:r>
    </w:p>
  </w:footnote>
  <w:footnote w:type="continuationSeparator" w:id="0">
    <w:p w14:paraId="00D3051A" w14:textId="77777777" w:rsidR="00E447B1" w:rsidRDefault="00E447B1">
      <w:pPr>
        <w:rPr>
          <w:sz w:val="12"/>
        </w:rPr>
      </w:pPr>
      <w:r>
        <w:continuationSeparator/>
      </w:r>
    </w:p>
  </w:footnote>
  <w:footnote w:id="1">
    <w:p w14:paraId="0606DF05" w14:textId="77777777" w:rsidR="00F714CF" w:rsidRDefault="00000000">
      <w:pPr>
        <w:pStyle w:val="Tekstprzypisudolnego"/>
        <w:widowControl w:val="0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t>1)</w:t>
      </w:r>
      <w:r>
        <w:rPr>
          <w:rStyle w:val="FootnoteCharacters"/>
          <w:rFonts w:ascii="Times New Roman" w:hAnsi="Times New Roman"/>
          <w:sz w:val="18"/>
          <w:szCs w:val="18"/>
        </w:rPr>
        <w:tab/>
        <w:t>1)</w:t>
      </w:r>
      <w:r>
        <w:rPr>
          <w:rFonts w:ascii="Times New Roman" w:hAnsi="Times New Roman"/>
          <w:sz w:val="18"/>
          <w:szCs w:val="18"/>
        </w:rPr>
        <w:t>Jeżeli działka nie posiada adresu, należy opisowo określić jej położenie.</w:t>
      </w:r>
    </w:p>
  </w:footnote>
  <w:footnote w:id="2">
    <w:p w14:paraId="50A67B3D" w14:textId="77777777" w:rsidR="00F714CF" w:rsidRDefault="00000000">
      <w:pPr>
        <w:pStyle w:val="Tekstprzypisudolnego"/>
        <w:widowControl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t>2)</w:t>
      </w:r>
      <w:r>
        <w:rPr>
          <w:rStyle w:val="FootnoteCharacters"/>
          <w:rFonts w:ascii="Times New Roman" w:hAnsi="Times New Roman"/>
          <w:sz w:val="18"/>
          <w:szCs w:val="18"/>
        </w:rPr>
        <w:tab/>
        <w:t>2)</w:t>
      </w:r>
      <w:r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3">
    <w:p w14:paraId="1DD2A463" w14:textId="77777777" w:rsidR="00F714CF" w:rsidRDefault="00000000">
      <w:pPr>
        <w:pStyle w:val="Tekstprzypisudolnego"/>
        <w:widowControl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t>3)</w:t>
      </w:r>
      <w:r>
        <w:rPr>
          <w:rStyle w:val="FootnoteCharacters"/>
          <w:rFonts w:ascii="Times New Roman" w:hAnsi="Times New Roman"/>
          <w:sz w:val="18"/>
          <w:szCs w:val="18"/>
        </w:rPr>
        <w:tab/>
        <w:t>3)</w:t>
      </w:r>
      <w:r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4">
    <w:p w14:paraId="34F9198C" w14:textId="77777777" w:rsidR="00F714CF" w:rsidRDefault="0000000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t>4)</w:t>
      </w:r>
      <w:r>
        <w:rPr>
          <w:rStyle w:val="FootnoteCharacters"/>
          <w:rFonts w:ascii="Times New Roman" w:hAnsi="Times New Roman"/>
          <w:sz w:val="18"/>
          <w:szCs w:val="18"/>
        </w:rPr>
        <w:tab/>
        <w:t>4)</w:t>
      </w:r>
      <w:r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14:paraId="5355D072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dokonania rezerwacji obszaru inwestycji (CPK),</w:t>
      </w:r>
    </w:p>
    <w:p w14:paraId="1E2A9549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lokalizacji inwestycji mieszkaniowej lub inwestycji towarzyszącej,</w:t>
      </w:r>
    </w:p>
    <w:p w14:paraId="62ADCC43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40820FC4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14:paraId="58A39B7B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wyznaczenia obszarów cichych w aglomeracji lub obszarów cichych poza aglomeracją,</w:t>
      </w:r>
    </w:p>
    <w:p w14:paraId="1790B040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utworzenia obszaru ograniczonego użytkowania,</w:t>
      </w:r>
    </w:p>
    <w:p w14:paraId="24C656AD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uznania zabytku za pomnik historii,</w:t>
      </w:r>
    </w:p>
    <w:p w14:paraId="67F7F300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14:paraId="2E324422" w14:textId="77777777" w:rsidR="00F714CF" w:rsidRDefault="00000000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14:paraId="596C8CDD" w14:textId="77777777" w:rsidR="00F714CF" w:rsidRDefault="00000000">
      <w:pPr>
        <w:pStyle w:val="Tekstprzypisudolnego"/>
        <w:widowControl w:val="0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t>*</w:t>
      </w:r>
      <w:r>
        <w:rPr>
          <w:rStyle w:val="FootnoteCharacters"/>
        </w:rPr>
        <w:t>*</w:t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W przypadku braku miejscowego planu zagospodarowania przestrzennego umieszcza się informację „Brak planu”. </w:t>
      </w:r>
    </w:p>
  </w:footnote>
  <w:footnote w:id="6">
    <w:p w14:paraId="3464E330" w14:textId="77777777" w:rsidR="00F714CF" w:rsidRDefault="00000000">
      <w:pPr>
        <w:pStyle w:val="Tekstprzypisudolnego"/>
        <w:widowControl w:val="0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t>5)</w:t>
      </w:r>
      <w:r>
        <w:rPr>
          <w:rStyle w:val="FootnoteCharacters"/>
          <w:rFonts w:ascii="Times New Roman" w:hAnsi="Times New Roman"/>
          <w:sz w:val="18"/>
          <w:szCs w:val="18"/>
        </w:rPr>
        <w:tab/>
        <w:t>5)</w:t>
      </w:r>
      <w:r>
        <w:rPr>
          <w:rFonts w:ascii="Times New Roman" w:hAnsi="Times New Roman"/>
          <w:sz w:val="18"/>
          <w:szCs w:val="18"/>
        </w:rPr>
        <w:t>Wskazane inwestycje dotyczą w szczególności budowy lub rozbudowy dróg, budowy linii szynowych oraz przewidzianych korytarzy powietrznych, inwestycji komunalnych, takich jak: oczyszczalnie ścieków, spalarnie śmieci, wysypiska, cmentarze.</w:t>
      </w:r>
    </w:p>
  </w:footnote>
  <w:footnote w:id="7">
    <w:p w14:paraId="1D6C674E" w14:textId="77777777" w:rsidR="00F714CF" w:rsidRDefault="00000000">
      <w:pPr>
        <w:pStyle w:val="Tekstprzypisudolnego"/>
        <w:widowControl w:val="0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t>*</w:t>
      </w:r>
      <w:r>
        <w:rPr>
          <w:rStyle w:val="FootnoteCharacters"/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Niepotrzebne skreślić. </w:t>
      </w:r>
    </w:p>
  </w:footnote>
  <w:footnote w:id="8">
    <w:p w14:paraId="62C3DE05" w14:textId="77777777" w:rsidR="00F714CF" w:rsidRDefault="00000000">
      <w:pPr>
        <w:pStyle w:val="Tekstprzypisudolnego"/>
        <w:widowControl w:val="0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t>6)</w:t>
      </w:r>
      <w:r>
        <w:rPr>
          <w:rStyle w:val="FootnoteCharacters"/>
          <w:rFonts w:ascii="Times New Roman" w:hAnsi="Times New Roman"/>
          <w:sz w:val="18"/>
          <w:szCs w:val="18"/>
        </w:rPr>
        <w:tab/>
        <w:t>6)</w:t>
      </w:r>
      <w:r>
        <w:rPr>
          <w:rFonts w:ascii="Times New Roman" w:hAnsi="Times New Roman"/>
          <w:sz w:val="18"/>
          <w:szCs w:val="18"/>
        </w:rPr>
        <w:t>Zgodnie z art. 48 ust. 6 ustawy z dnia … o ochronie praw nabywcy lokalu mieszkalnego lub domu jednorodzinnego oraz o Deweloperskim Funduszu Gwarancyjnym (Dz. U. ….)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48 ust. 8 ustawy z dnia … o ochronie praw nabywcy lokalu mieszkalnego lub domu jednorodzinnego oraz o Deweloperskim Funduszu Gwarancyjnym.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936"/>
    <w:multiLevelType w:val="multilevel"/>
    <w:tmpl w:val="2D48A6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40D5A"/>
    <w:multiLevelType w:val="multilevel"/>
    <w:tmpl w:val="57B4F4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B15BD"/>
    <w:multiLevelType w:val="multilevel"/>
    <w:tmpl w:val="61847D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242F00"/>
    <w:multiLevelType w:val="multilevel"/>
    <w:tmpl w:val="8BACB718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1C92709"/>
    <w:multiLevelType w:val="multilevel"/>
    <w:tmpl w:val="602A905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54B52"/>
    <w:multiLevelType w:val="multilevel"/>
    <w:tmpl w:val="AE78C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242383">
    <w:abstractNumId w:val="1"/>
  </w:num>
  <w:num w:numId="2" w16cid:durableId="1040669180">
    <w:abstractNumId w:val="4"/>
  </w:num>
  <w:num w:numId="3" w16cid:durableId="685405257">
    <w:abstractNumId w:val="3"/>
  </w:num>
  <w:num w:numId="4" w16cid:durableId="2123914930">
    <w:abstractNumId w:val="0"/>
  </w:num>
  <w:num w:numId="5" w16cid:durableId="99424294">
    <w:abstractNumId w:val="2"/>
  </w:num>
  <w:num w:numId="6" w16cid:durableId="182331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CF"/>
    <w:rsid w:val="00117181"/>
    <w:rsid w:val="00240285"/>
    <w:rsid w:val="007F12F2"/>
    <w:rsid w:val="0099057D"/>
    <w:rsid w:val="00E447B1"/>
    <w:rsid w:val="00F714CF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5ED4"/>
  <w15:docId w15:val="{1D023392-055C-45E9-96D0-B51551D0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1C2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A1C22"/>
    <w:rPr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EA1C22"/>
    <w:rPr>
      <w:rFonts w:cs="Times New Roman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A1C2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3E4D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4A01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A010B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C2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1C22"/>
    <w:pPr>
      <w:widowControl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3E4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-Siatka111">
    <w:name w:val="Tabela - Siatka111"/>
    <w:basedOn w:val="Standardowy"/>
    <w:rsid w:val="00EA1C22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domgorzo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mojdomgor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7750</Words>
  <Characters>46502</Characters>
  <Application>Microsoft Office Word</Application>
  <DocSecurity>0</DocSecurity>
  <Lines>387</Lines>
  <Paragraphs>108</Paragraphs>
  <ScaleCrop>false</ScaleCrop>
  <Company>Kancelaria Prezesa Rady Ministrow</Company>
  <LinksUpToDate>false</LinksUpToDate>
  <CharactersWithSpaces>54144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dc:description/>
  <cp:lastModifiedBy>ewa kwiecie</cp:lastModifiedBy>
  <cp:revision>7</cp:revision>
  <cp:lastPrinted>2025-09-30T07:27:00Z</cp:lastPrinted>
  <dcterms:created xsi:type="dcterms:W3CDTF">2025-10-09T08:13:00Z</dcterms:created>
  <dcterms:modified xsi:type="dcterms:W3CDTF">2025-10-30T12:31:00Z</dcterms:modified>
  <dc:language>pl-PL</dc:language>
</cp:coreProperties>
</file>